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48EDF7" w14:textId="3C944E94" w:rsidR="002402DF" w:rsidRDefault="002402DF" w:rsidP="00140A9B">
      <w:pPr>
        <w:pStyle w:val="ae"/>
        <w:spacing w:after="0" w:line="240" w:lineRule="auto"/>
        <w:rPr>
          <w:rFonts w:ascii="Times New Roman" w:eastAsia="標楷體" w:hAnsi="Times New Roman" w:cs="Times New Roman"/>
          <w:sz w:val="32"/>
          <w:szCs w:val="32"/>
        </w:rPr>
      </w:pPr>
      <w:r w:rsidRPr="002402DF">
        <w:rPr>
          <w:rFonts w:ascii="Times New Roman" w:eastAsia="標楷體" w:hAnsi="Times New Roman" w:cs="Times New Roman" w:hint="eastAsia"/>
          <w:sz w:val="32"/>
          <w:szCs w:val="32"/>
        </w:rPr>
        <w:t>作業繳交注意事項</w:t>
      </w:r>
      <w:r w:rsidRPr="002402DF">
        <w:rPr>
          <w:rFonts w:ascii="Times New Roman" w:eastAsia="標楷體" w:hAnsi="Times New Roman" w:cs="Times New Roman" w:hint="eastAsia"/>
          <w:sz w:val="32"/>
          <w:szCs w:val="32"/>
        </w:rPr>
        <w:t xml:space="preserve"> (Notions)</w:t>
      </w:r>
      <w:r w:rsidRPr="002402DF">
        <w:rPr>
          <w:rFonts w:ascii="Times New Roman" w:eastAsia="標楷體" w:hAnsi="Times New Roman" w:cs="Times New Roman" w:hint="eastAsia"/>
          <w:sz w:val="32"/>
          <w:szCs w:val="32"/>
        </w:rPr>
        <w:t>：</w:t>
      </w:r>
    </w:p>
    <w:p w14:paraId="3C96C008" w14:textId="77777777" w:rsidR="00F20902" w:rsidRPr="002402DF" w:rsidRDefault="00F20902" w:rsidP="00F20902">
      <w:pPr>
        <w:pStyle w:val="ae"/>
        <w:spacing w:after="0" w:line="240" w:lineRule="auto"/>
        <w:ind w:left="480"/>
        <w:rPr>
          <w:rFonts w:ascii="Times New Roman" w:eastAsia="標楷體" w:hAnsi="Times New Roman" w:cs="Times New Roman"/>
          <w:sz w:val="32"/>
          <w:szCs w:val="32"/>
        </w:rPr>
      </w:pPr>
    </w:p>
    <w:p w14:paraId="4B68CCF1" w14:textId="0827B0C6" w:rsidR="002402DF" w:rsidRPr="002402DF" w:rsidRDefault="002402DF" w:rsidP="002402DF">
      <w:pPr>
        <w:pStyle w:val="ae"/>
        <w:numPr>
          <w:ilvl w:val="0"/>
          <w:numId w:val="2"/>
        </w:numPr>
        <w:spacing w:after="0" w:line="240" w:lineRule="auto"/>
        <w:rPr>
          <w:rFonts w:ascii="Times New Roman" w:eastAsia="標楷體" w:hAnsi="Times New Roman" w:cs="Times New Roman"/>
          <w:sz w:val="32"/>
          <w:szCs w:val="32"/>
        </w:rPr>
      </w:pPr>
      <w:r w:rsidRPr="002402DF">
        <w:rPr>
          <w:rFonts w:ascii="Times New Roman" w:eastAsia="標楷體" w:hAnsi="Times New Roman" w:cs="Times New Roman"/>
          <w:sz w:val="32"/>
          <w:szCs w:val="32"/>
        </w:rPr>
        <w:t>第一部分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(Part I)</w:t>
      </w:r>
    </w:p>
    <w:p w14:paraId="72E64319" w14:textId="4D5F5C6C" w:rsidR="002402DF" w:rsidRPr="00B04D60" w:rsidRDefault="002402DF" w:rsidP="002402DF">
      <w:pPr>
        <w:pStyle w:val="ae"/>
        <w:spacing w:after="0" w:line="240" w:lineRule="auto"/>
        <w:rPr>
          <w:sz w:val="24"/>
          <w:szCs w:val="24"/>
        </w:rPr>
      </w:pPr>
      <w:r w:rsidRPr="00B04D60">
        <w:rPr>
          <w:rFonts w:hint="eastAsia"/>
          <w:sz w:val="24"/>
          <w:szCs w:val="24"/>
        </w:rPr>
        <w:t>情境：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泰國</w:t>
      </w:r>
      <w:r w:rsidRPr="00B04D60">
        <w:rPr>
          <w:rFonts w:hint="eastAsia"/>
          <w:sz w:val="24"/>
          <w:szCs w:val="24"/>
        </w:rPr>
        <w:t>與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台灣</w:t>
      </w:r>
      <w:r w:rsidRPr="00B04D60">
        <w:rPr>
          <w:rFonts w:hint="eastAsia"/>
          <w:sz w:val="24"/>
          <w:szCs w:val="24"/>
        </w:rPr>
        <w:t>貿易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冷凍魚</w:t>
      </w:r>
    </w:p>
    <w:p w14:paraId="06A9026F" w14:textId="0038A657" w:rsidR="002402DF" w:rsidRDefault="002402DF" w:rsidP="002402DF">
      <w:pPr>
        <w:pStyle w:val="ae"/>
        <w:spacing w:after="0" w:line="240" w:lineRule="auto"/>
        <w:rPr>
          <w:sz w:val="24"/>
          <w:szCs w:val="24"/>
        </w:rPr>
      </w:pPr>
      <w:r w:rsidRPr="00B04D60">
        <w:rPr>
          <w:rFonts w:hint="eastAsia"/>
          <w:sz w:val="24"/>
          <w:szCs w:val="24"/>
        </w:rPr>
        <w:t>角色：『進口商（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泰國</w:t>
      </w:r>
      <w:r w:rsidRPr="00B04D60">
        <w:rPr>
          <w:rFonts w:hint="eastAsia"/>
          <w:sz w:val="24"/>
          <w:szCs w:val="24"/>
        </w:rPr>
        <w:t>自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台灣</w:t>
      </w:r>
      <w:r w:rsidRPr="00B04D60">
        <w:rPr>
          <w:rFonts w:hint="eastAsia"/>
          <w:sz w:val="24"/>
          <w:szCs w:val="24"/>
        </w:rPr>
        <w:t>進口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冷凍魚</w:t>
      </w:r>
      <w:r w:rsidRPr="00B04D60">
        <w:rPr>
          <w:rFonts w:hint="eastAsia"/>
          <w:sz w:val="24"/>
          <w:szCs w:val="24"/>
        </w:rPr>
        <w:t>）』</w:t>
      </w:r>
      <w:r w:rsidR="00B60F01">
        <w:rPr>
          <w:rFonts w:hint="eastAsia"/>
          <w:sz w:val="24"/>
          <w:szCs w:val="24"/>
        </w:rPr>
        <w:t xml:space="preserve"> </w:t>
      </w:r>
      <w:r w:rsidRPr="00B04D60">
        <w:rPr>
          <w:rFonts w:hint="eastAsia"/>
          <w:sz w:val="24"/>
          <w:szCs w:val="24"/>
        </w:rPr>
        <w:t xml:space="preserve">or </w:t>
      </w:r>
      <w:r w:rsidRPr="00B04D60">
        <w:rPr>
          <w:rFonts w:hint="eastAsia"/>
          <w:sz w:val="24"/>
          <w:szCs w:val="24"/>
        </w:rPr>
        <w:t>『出口商（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台灣</w:t>
      </w:r>
      <w:r w:rsidRPr="00B04D60">
        <w:rPr>
          <w:rFonts w:hint="eastAsia"/>
          <w:sz w:val="24"/>
          <w:szCs w:val="24"/>
        </w:rPr>
        <w:t>出口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冷凍魚</w:t>
      </w:r>
      <w:r w:rsidRPr="00B04D60">
        <w:rPr>
          <w:rFonts w:hint="eastAsia"/>
          <w:sz w:val="24"/>
          <w:szCs w:val="24"/>
        </w:rPr>
        <w:t>給</w:t>
      </w:r>
      <w:r w:rsidR="000E5577">
        <w:rPr>
          <w:rFonts w:hint="eastAsia"/>
          <w:b/>
          <w:bCs/>
          <w:color w:val="215E99" w:themeColor="text2" w:themeTint="BF"/>
          <w:sz w:val="24"/>
          <w:szCs w:val="24"/>
        </w:rPr>
        <w:t>泰國</w:t>
      </w:r>
      <w:r w:rsidRPr="00B04D60">
        <w:rPr>
          <w:rFonts w:hint="eastAsia"/>
          <w:sz w:val="24"/>
          <w:szCs w:val="24"/>
        </w:rPr>
        <w:t>）』</w:t>
      </w:r>
    </w:p>
    <w:p w14:paraId="1CF75F85" w14:textId="77777777" w:rsidR="001978F3" w:rsidRDefault="001978F3" w:rsidP="002402DF">
      <w:pPr>
        <w:pStyle w:val="ae"/>
        <w:spacing w:after="0" w:line="240" w:lineRule="auto"/>
        <w:rPr>
          <w:b/>
          <w:bCs/>
          <w:color w:val="215E99" w:themeColor="text2" w:themeTint="BF"/>
          <w:sz w:val="24"/>
          <w:szCs w:val="24"/>
        </w:rPr>
      </w:pPr>
    </w:p>
    <w:p w14:paraId="66D2E967" w14:textId="7D3865EA" w:rsidR="001978F3" w:rsidRPr="001978F3" w:rsidRDefault="001978F3" w:rsidP="002402DF">
      <w:pPr>
        <w:pStyle w:val="ae"/>
        <w:spacing w:after="0" w:line="240" w:lineRule="auto"/>
        <w:rPr>
          <w:b/>
          <w:bCs/>
          <w:color w:val="215E99" w:themeColor="text2" w:themeTint="BF"/>
          <w:sz w:val="24"/>
          <w:szCs w:val="24"/>
        </w:rPr>
      </w:pPr>
      <w:r w:rsidRPr="001978F3">
        <w:rPr>
          <w:rFonts w:hint="eastAsia"/>
          <w:b/>
          <w:bCs/>
          <w:color w:val="215E99" w:themeColor="text2" w:themeTint="BF"/>
          <w:sz w:val="24"/>
          <w:szCs w:val="24"/>
        </w:rPr>
        <w:t>(</w:t>
      </w:r>
      <w:r w:rsidRPr="001978F3">
        <w:rPr>
          <w:rFonts w:hint="eastAsia"/>
          <w:b/>
          <w:bCs/>
          <w:color w:val="215E99" w:themeColor="text2" w:themeTint="BF"/>
          <w:sz w:val="24"/>
          <w:szCs w:val="24"/>
        </w:rPr>
        <w:t>藍字部分請同學們自行替換</w:t>
      </w:r>
      <w:r>
        <w:rPr>
          <w:rFonts w:hint="eastAsia"/>
          <w:b/>
          <w:bCs/>
          <w:color w:val="215E99" w:themeColor="text2" w:themeTint="BF"/>
          <w:sz w:val="24"/>
          <w:szCs w:val="24"/>
        </w:rPr>
        <w:t>為自己的情境角色</w:t>
      </w:r>
      <w:r w:rsidRPr="001978F3">
        <w:rPr>
          <w:rFonts w:hint="eastAsia"/>
          <w:b/>
          <w:bCs/>
          <w:color w:val="215E99" w:themeColor="text2" w:themeTint="BF"/>
          <w:sz w:val="24"/>
          <w:szCs w:val="24"/>
        </w:rPr>
        <w:t>)</w:t>
      </w:r>
    </w:p>
    <w:p w14:paraId="02BE378D" w14:textId="77777777" w:rsidR="001978F3" w:rsidRPr="001978F3" w:rsidRDefault="001978F3" w:rsidP="002402DF">
      <w:pPr>
        <w:pStyle w:val="ae"/>
        <w:spacing w:after="0" w:line="240" w:lineRule="auto"/>
        <w:rPr>
          <w:b/>
          <w:bCs/>
          <w:color w:val="215E99" w:themeColor="text2" w:themeTint="BF"/>
        </w:rPr>
      </w:pPr>
    </w:p>
    <w:p w14:paraId="1CCF029D" w14:textId="6B7D9BF4" w:rsidR="002402DF" w:rsidRPr="00B04D60" w:rsidRDefault="00EC3888" w:rsidP="002402DF">
      <w:pPr>
        <w:pStyle w:val="ae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 w:rsidR="00A77AD2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</w:t>
      </w:r>
      <w:r w:rsidR="002402DF" w:rsidRPr="00B04D60">
        <w:rPr>
          <w:rFonts w:hint="eastAsia"/>
          <w:sz w:val="24"/>
          <w:szCs w:val="24"/>
        </w:rPr>
        <w:t>同儕互評：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263"/>
        <w:gridCol w:w="2048"/>
        <w:gridCol w:w="2048"/>
        <w:gridCol w:w="2048"/>
        <w:gridCol w:w="2049"/>
      </w:tblGrid>
      <w:tr w:rsidR="002402DF" w:rsidRPr="00B04D60" w14:paraId="2C1F083B" w14:textId="77777777" w:rsidTr="000E5577">
        <w:tc>
          <w:tcPr>
            <w:tcW w:w="2263" w:type="dxa"/>
          </w:tcPr>
          <w:p w14:paraId="4CA413E8" w14:textId="77777777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48" w:type="dxa"/>
          </w:tcPr>
          <w:p w14:paraId="4D9C8113" w14:textId="11F52A82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</w:t>
            </w:r>
            <w:r w:rsidRPr="00B04D60">
              <w:rPr>
                <w:rFonts w:hint="eastAsia"/>
                <w:sz w:val="24"/>
                <w:szCs w:val="24"/>
              </w:rPr>
              <w:t>1</w:t>
            </w:r>
            <w:r w:rsidR="000E5577" w:rsidRPr="00B04D6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48" w:type="dxa"/>
          </w:tcPr>
          <w:p w14:paraId="08108EEC" w14:textId="77777777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</w:t>
            </w:r>
            <w:r w:rsidRPr="00B04D60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48" w:type="dxa"/>
          </w:tcPr>
          <w:p w14:paraId="7E479F1D" w14:textId="77777777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</w:t>
            </w:r>
            <w:r w:rsidRPr="00B04D60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49" w:type="dxa"/>
          </w:tcPr>
          <w:p w14:paraId="1CB02242" w14:textId="77777777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</w:t>
            </w:r>
            <w:r w:rsidRPr="00B04D60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2402DF" w:rsidRPr="00B04D60" w14:paraId="2DAB717C" w14:textId="77777777" w:rsidTr="000E5577">
        <w:tc>
          <w:tcPr>
            <w:tcW w:w="2263" w:type="dxa"/>
          </w:tcPr>
          <w:p w14:paraId="3D8B997F" w14:textId="77777777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組員學號姓名</w:t>
            </w:r>
          </w:p>
        </w:tc>
        <w:tc>
          <w:tcPr>
            <w:tcW w:w="2048" w:type="dxa"/>
          </w:tcPr>
          <w:p w14:paraId="2F8C83B7" w14:textId="0E9CADC2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學號：</w:t>
            </w:r>
            <w:r w:rsidR="000E5577">
              <w:rPr>
                <w:rFonts w:hint="eastAsia"/>
                <w:sz w:val="24"/>
                <w:szCs w:val="24"/>
              </w:rPr>
              <w:t>B</w:t>
            </w:r>
            <w:r w:rsidR="000E5577">
              <w:rPr>
                <w:sz w:val="24"/>
                <w:szCs w:val="24"/>
              </w:rPr>
              <w:t>10950005</w:t>
            </w:r>
          </w:p>
          <w:p w14:paraId="3CA5D082" w14:textId="056C74FA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姓名：</w:t>
            </w:r>
            <w:r w:rsidR="000E5577">
              <w:rPr>
                <w:rFonts w:hint="eastAsia"/>
                <w:sz w:val="24"/>
                <w:szCs w:val="24"/>
              </w:rPr>
              <w:t>徐麗汶</w:t>
            </w:r>
          </w:p>
        </w:tc>
        <w:tc>
          <w:tcPr>
            <w:tcW w:w="2048" w:type="dxa"/>
          </w:tcPr>
          <w:p w14:paraId="403CDA93" w14:textId="4265EBC4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學號：</w:t>
            </w:r>
            <w:r w:rsidR="000E5577">
              <w:rPr>
                <w:sz w:val="24"/>
                <w:szCs w:val="24"/>
              </w:rPr>
              <w:t>B11050021</w:t>
            </w:r>
          </w:p>
          <w:p w14:paraId="799A20F3" w14:textId="22FE0D79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姓名：</w:t>
            </w:r>
            <w:r w:rsidR="000E5577">
              <w:rPr>
                <w:rFonts w:hint="eastAsia"/>
                <w:sz w:val="24"/>
                <w:szCs w:val="24"/>
              </w:rPr>
              <w:t>蔡明妤</w:t>
            </w:r>
          </w:p>
        </w:tc>
        <w:tc>
          <w:tcPr>
            <w:tcW w:w="2048" w:type="dxa"/>
          </w:tcPr>
          <w:p w14:paraId="28EF0B88" w14:textId="50DD4EBF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學號：</w:t>
            </w:r>
            <w:r w:rsidR="000E5577">
              <w:rPr>
                <w:rFonts w:hint="eastAsia"/>
                <w:sz w:val="24"/>
                <w:szCs w:val="24"/>
              </w:rPr>
              <w:t>B</w:t>
            </w:r>
            <w:r w:rsidR="000E5577">
              <w:rPr>
                <w:sz w:val="24"/>
                <w:szCs w:val="24"/>
              </w:rPr>
              <w:t>11050031</w:t>
            </w:r>
          </w:p>
          <w:p w14:paraId="759A209E" w14:textId="1AA0EBDD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姓名：</w:t>
            </w:r>
            <w:r w:rsidR="000E5577">
              <w:rPr>
                <w:rFonts w:hint="eastAsia"/>
                <w:sz w:val="24"/>
                <w:szCs w:val="24"/>
              </w:rPr>
              <w:t>賴巧軒</w:t>
            </w:r>
          </w:p>
        </w:tc>
        <w:tc>
          <w:tcPr>
            <w:tcW w:w="2049" w:type="dxa"/>
          </w:tcPr>
          <w:p w14:paraId="34E240CA" w14:textId="427455D2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學號：</w:t>
            </w:r>
            <w:r w:rsidR="000E5577">
              <w:rPr>
                <w:rFonts w:hint="eastAsia"/>
                <w:sz w:val="24"/>
                <w:szCs w:val="24"/>
              </w:rPr>
              <w:t>B</w:t>
            </w:r>
            <w:r w:rsidR="000E5577">
              <w:rPr>
                <w:sz w:val="24"/>
                <w:szCs w:val="24"/>
              </w:rPr>
              <w:t>11050050</w:t>
            </w:r>
          </w:p>
          <w:p w14:paraId="66DC54BB" w14:textId="3D91A851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姓名：</w:t>
            </w:r>
            <w:r w:rsidR="000E5577">
              <w:rPr>
                <w:rFonts w:hint="eastAsia"/>
                <w:sz w:val="24"/>
                <w:szCs w:val="24"/>
              </w:rPr>
              <w:t>陳姿夢</w:t>
            </w:r>
          </w:p>
        </w:tc>
      </w:tr>
      <w:tr w:rsidR="002402DF" w:rsidRPr="00B04D60" w14:paraId="7C541138" w14:textId="77777777" w:rsidTr="000E5577">
        <w:tc>
          <w:tcPr>
            <w:tcW w:w="2263" w:type="dxa"/>
          </w:tcPr>
          <w:p w14:paraId="252D7CF0" w14:textId="37F4A767" w:rsidR="002402DF" w:rsidRPr="00B04D60" w:rsidRDefault="002402DF" w:rsidP="000E5577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貢獻比例</w:t>
            </w:r>
            <w:r w:rsidR="00A338F3">
              <w:rPr>
                <w:sz w:val="24"/>
                <w:szCs w:val="24"/>
              </w:rPr>
              <w:br/>
            </w:r>
            <w:r w:rsidRPr="00B04D60">
              <w:rPr>
                <w:rFonts w:hint="eastAsia"/>
                <w:sz w:val="24"/>
                <w:szCs w:val="24"/>
              </w:rPr>
              <w:t>（</w:t>
            </w:r>
            <w:r w:rsidRPr="00B04D60">
              <w:rPr>
                <w:rFonts w:hint="eastAsia"/>
                <w:sz w:val="24"/>
                <w:szCs w:val="24"/>
              </w:rPr>
              <w:t>0%-100%</w:t>
            </w:r>
            <w:r w:rsidRPr="00B04D60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048" w:type="dxa"/>
          </w:tcPr>
          <w:p w14:paraId="5D1EC353" w14:textId="4324DB93" w:rsidR="002402DF" w:rsidRPr="00B04D60" w:rsidRDefault="000E5577" w:rsidP="000E5577">
            <w:pPr>
              <w:pStyle w:val="a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00%</w:t>
            </w:r>
          </w:p>
        </w:tc>
        <w:tc>
          <w:tcPr>
            <w:tcW w:w="2048" w:type="dxa"/>
          </w:tcPr>
          <w:p w14:paraId="00383394" w14:textId="2914A4F2" w:rsidR="002402DF" w:rsidRPr="00B04D60" w:rsidRDefault="000E5577" w:rsidP="000E5577">
            <w:pPr>
              <w:pStyle w:val="a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00%</w:t>
            </w:r>
          </w:p>
        </w:tc>
        <w:tc>
          <w:tcPr>
            <w:tcW w:w="2048" w:type="dxa"/>
          </w:tcPr>
          <w:p w14:paraId="071F61E0" w14:textId="31D68425" w:rsidR="002402DF" w:rsidRPr="00B04D60" w:rsidRDefault="000E5577" w:rsidP="000E5577">
            <w:pPr>
              <w:pStyle w:val="a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00%</w:t>
            </w:r>
          </w:p>
        </w:tc>
        <w:tc>
          <w:tcPr>
            <w:tcW w:w="2049" w:type="dxa"/>
          </w:tcPr>
          <w:p w14:paraId="59FA8F30" w14:textId="653343E5" w:rsidR="002402DF" w:rsidRPr="00B04D60" w:rsidRDefault="000E5577" w:rsidP="000E5577">
            <w:pPr>
              <w:pStyle w:val="a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00%</w:t>
            </w:r>
          </w:p>
        </w:tc>
      </w:tr>
    </w:tbl>
    <w:p w14:paraId="1244C27F" w14:textId="77777777" w:rsidR="002402DF" w:rsidRDefault="002402DF"/>
    <w:p w14:paraId="237069D4" w14:textId="6377FDBD" w:rsidR="00F20902" w:rsidRPr="00F20902" w:rsidRDefault="00F20902" w:rsidP="00F20902">
      <w:pPr>
        <w:pStyle w:val="ae"/>
        <w:numPr>
          <w:ilvl w:val="0"/>
          <w:numId w:val="2"/>
        </w:numPr>
        <w:spacing w:after="0" w:line="240" w:lineRule="auto"/>
        <w:rPr>
          <w:rFonts w:ascii="Times New Roman" w:eastAsia="標楷體" w:hAnsi="Times New Roman" w:cs="Times New Roman"/>
          <w:sz w:val="32"/>
          <w:szCs w:val="32"/>
        </w:rPr>
      </w:pPr>
      <w:r w:rsidRPr="00F20902">
        <w:rPr>
          <w:rFonts w:ascii="Times New Roman" w:eastAsia="標楷體" w:hAnsi="Times New Roman" w:cs="Times New Roman" w:hint="eastAsia"/>
          <w:sz w:val="32"/>
          <w:szCs w:val="32"/>
        </w:rPr>
        <w:t>執行</w:t>
      </w:r>
      <w:r w:rsidR="00140A9B">
        <w:rPr>
          <w:rFonts w:ascii="Times New Roman" w:eastAsia="標楷體" w:hAnsi="Times New Roman" w:cs="Times New Roman" w:hint="eastAsia"/>
          <w:sz w:val="32"/>
          <w:szCs w:val="32"/>
        </w:rPr>
        <w:t>事項</w:t>
      </w:r>
      <w:r w:rsidRPr="00F20902">
        <w:rPr>
          <w:rFonts w:ascii="Times New Roman" w:eastAsia="標楷體" w:hAnsi="Times New Roman" w:cs="Times New Roman" w:hint="eastAsia"/>
          <w:sz w:val="32"/>
          <w:szCs w:val="32"/>
        </w:rPr>
        <w:t xml:space="preserve"> (To do list)</w:t>
      </w:r>
    </w:p>
    <w:p w14:paraId="13205A6E" w14:textId="7F2E02CC" w:rsidR="00B04D60" w:rsidRDefault="002402DF" w:rsidP="00B04D60">
      <w:pPr>
        <w:pStyle w:val="ae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B04D60">
        <w:rPr>
          <w:rFonts w:hint="eastAsia"/>
          <w:sz w:val="24"/>
          <w:szCs w:val="24"/>
        </w:rPr>
        <w:t>請</w:t>
      </w:r>
      <w:r w:rsidR="000847C2">
        <w:rPr>
          <w:rFonts w:hint="eastAsia"/>
          <w:sz w:val="24"/>
          <w:szCs w:val="24"/>
        </w:rPr>
        <w:t>每位同學</w:t>
      </w:r>
      <w:r w:rsidRPr="00B04D60">
        <w:rPr>
          <w:rFonts w:hint="eastAsia"/>
          <w:sz w:val="24"/>
          <w:szCs w:val="24"/>
        </w:rPr>
        <w:t>填妥第一</w:t>
      </w:r>
      <w:r w:rsidR="00B04D60">
        <w:rPr>
          <w:rFonts w:hint="eastAsia"/>
          <w:sz w:val="24"/>
          <w:szCs w:val="24"/>
        </w:rPr>
        <w:t>部分</w:t>
      </w:r>
      <w:r w:rsidR="00B04D60">
        <w:rPr>
          <w:rFonts w:hint="eastAsia"/>
          <w:sz w:val="24"/>
          <w:szCs w:val="24"/>
        </w:rPr>
        <w:t>(Part I)</w:t>
      </w:r>
      <w:r w:rsidR="000847C2">
        <w:rPr>
          <w:rFonts w:hint="eastAsia"/>
          <w:sz w:val="24"/>
          <w:szCs w:val="24"/>
        </w:rPr>
        <w:t>，並每位同學皆上傳報告，擔任同樣角色的同學可上傳一樣的市場調查報告內容。</w:t>
      </w:r>
    </w:p>
    <w:p w14:paraId="080F8BDB" w14:textId="30E934C0" w:rsidR="000847C2" w:rsidRDefault="000847C2" w:rsidP="00B04D60">
      <w:pPr>
        <w:pStyle w:val="ae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市場調查報告請於</w:t>
      </w:r>
      <w:r w:rsidR="008767EA">
        <w:rPr>
          <w:rFonts w:hint="eastAsia"/>
          <w:sz w:val="24"/>
          <w:szCs w:val="24"/>
        </w:rPr>
        <w:t>第</w:t>
      </w:r>
      <w:r w:rsidR="008767EA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頁開始編輯，格式不拘，僅所有內容需要含括於一頁</w:t>
      </w:r>
      <w:r>
        <w:rPr>
          <w:rFonts w:hint="eastAsia"/>
          <w:sz w:val="24"/>
          <w:szCs w:val="24"/>
        </w:rPr>
        <w:t>A4</w:t>
      </w:r>
      <w:r>
        <w:rPr>
          <w:rFonts w:hint="eastAsia"/>
          <w:sz w:val="24"/>
          <w:szCs w:val="24"/>
        </w:rPr>
        <w:t>版面內。</w:t>
      </w:r>
    </w:p>
    <w:p w14:paraId="032FAEAD" w14:textId="490BA421" w:rsidR="000847C2" w:rsidRDefault="000847C2" w:rsidP="00B04D60">
      <w:pPr>
        <w:pStyle w:val="ae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市場調查報告至少須包含</w:t>
      </w:r>
      <w:r w:rsidR="00945635">
        <w:rPr>
          <w:rFonts w:hint="eastAsia"/>
          <w:sz w:val="24"/>
          <w:szCs w:val="24"/>
        </w:rPr>
        <w:t>以下內容，</w:t>
      </w:r>
      <w:r w:rsidR="002A6AF4">
        <w:rPr>
          <w:rFonts w:hint="eastAsia"/>
          <w:sz w:val="24"/>
          <w:szCs w:val="24"/>
        </w:rPr>
        <w:t>以數據或圖文佐證敘述</w:t>
      </w:r>
      <w:r w:rsidR="0011294E">
        <w:rPr>
          <w:rFonts w:hint="eastAsia"/>
          <w:sz w:val="24"/>
          <w:szCs w:val="24"/>
        </w:rPr>
        <w:t>，能夠邏輯清楚且明確的說明理由、優劣勢分析，或解決方法</w:t>
      </w:r>
      <w:r w:rsidR="002A6AF4">
        <w:rPr>
          <w:rFonts w:hint="eastAsia"/>
          <w:sz w:val="24"/>
          <w:szCs w:val="24"/>
        </w:rPr>
        <w:t>尤佳。若尚於頁面可自行美編或補充其他市場調查相關內容作為加分項目。</w:t>
      </w:r>
    </w:p>
    <w:p w14:paraId="1ECFF2BF" w14:textId="7C95BF98" w:rsidR="00945635" w:rsidRDefault="002A6AF4" w:rsidP="00945635">
      <w:pPr>
        <w:pStyle w:val="ae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 w:rsidR="00261E41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出口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>
        <w:rPr>
          <w:rFonts w:hint="eastAsia"/>
          <w:sz w:val="24"/>
          <w:szCs w:val="24"/>
        </w:rPr>
        <w:t>至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A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 xml:space="preserve"> or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從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B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>
        <w:rPr>
          <w:rFonts w:hint="eastAsia"/>
          <w:sz w:val="24"/>
          <w:szCs w:val="24"/>
        </w:rPr>
        <w:t>進口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>的理由。</w:t>
      </w:r>
    </w:p>
    <w:p w14:paraId="4475F657" w14:textId="51CF0B98" w:rsidR="00745031" w:rsidRDefault="002A6AF4" w:rsidP="00745031">
      <w:pPr>
        <w:pStyle w:val="ae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(20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出口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>
        <w:rPr>
          <w:rFonts w:hint="eastAsia"/>
          <w:sz w:val="24"/>
          <w:szCs w:val="24"/>
        </w:rPr>
        <w:t>至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A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 xml:space="preserve"> or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從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B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>
        <w:rPr>
          <w:rFonts w:hint="eastAsia"/>
          <w:sz w:val="24"/>
          <w:szCs w:val="24"/>
        </w:rPr>
        <w:t>進口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>的利基。</w:t>
      </w:r>
    </w:p>
    <w:p w14:paraId="49B3820B" w14:textId="0EFC9D37" w:rsidR="00745031" w:rsidRDefault="002A6AF4" w:rsidP="00745031">
      <w:pPr>
        <w:pStyle w:val="ae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(20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出口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>
        <w:rPr>
          <w:rFonts w:hint="eastAsia"/>
          <w:sz w:val="24"/>
          <w:szCs w:val="24"/>
        </w:rPr>
        <w:t>至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A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 xml:space="preserve"> or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從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B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>
        <w:rPr>
          <w:rFonts w:hint="eastAsia"/>
          <w:sz w:val="24"/>
          <w:szCs w:val="24"/>
        </w:rPr>
        <w:t>進口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>的困難或挑戰。</w:t>
      </w:r>
    </w:p>
    <w:p w14:paraId="0895BEDC" w14:textId="0C27F60A" w:rsidR="00F85CB5" w:rsidRDefault="002A6AF4" w:rsidP="00F85CB5">
      <w:pPr>
        <w:pStyle w:val="ae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(20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 </w:t>
      </w:r>
      <w:r w:rsidR="00F85CB5">
        <w:rPr>
          <w:rFonts w:hint="eastAsia"/>
          <w:sz w:val="24"/>
          <w:szCs w:val="24"/>
        </w:rPr>
        <w:t>面對困難和挑戰相應之解決方法。</w:t>
      </w:r>
    </w:p>
    <w:p w14:paraId="4B933E80" w14:textId="63213CA3" w:rsidR="00122F1A" w:rsidRDefault="008239A8" w:rsidP="00555DFE">
      <w:pPr>
        <w:pStyle w:val="ae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加分項目</w:t>
      </w:r>
      <w:r>
        <w:rPr>
          <w:rFonts w:hint="eastAsia"/>
          <w:sz w:val="24"/>
          <w:szCs w:val="24"/>
        </w:rPr>
        <w:t xml:space="preserve"> </w:t>
      </w:r>
      <w:r w:rsidR="00122F1A">
        <w:rPr>
          <w:rFonts w:hint="eastAsia"/>
          <w:sz w:val="24"/>
          <w:szCs w:val="24"/>
        </w:rPr>
        <w:t>(</w:t>
      </w:r>
      <w:r w:rsidR="00A77AD2">
        <w:rPr>
          <w:rFonts w:hint="eastAsia"/>
          <w:sz w:val="24"/>
          <w:szCs w:val="24"/>
        </w:rPr>
        <w:t>2</w:t>
      </w:r>
      <w:r w:rsidR="00122F1A">
        <w:rPr>
          <w:rFonts w:hint="eastAsia"/>
          <w:sz w:val="24"/>
          <w:szCs w:val="24"/>
        </w:rPr>
        <w:t>0</w:t>
      </w:r>
      <w:r w:rsidR="00122F1A">
        <w:rPr>
          <w:rFonts w:hint="eastAsia"/>
          <w:sz w:val="24"/>
          <w:szCs w:val="24"/>
        </w:rPr>
        <w:t>分</w:t>
      </w:r>
      <w:r w:rsidR="00122F1A"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：包含</w:t>
      </w:r>
      <w:r w:rsidR="00122F1A">
        <w:rPr>
          <w:rFonts w:hint="eastAsia"/>
          <w:sz w:val="24"/>
          <w:szCs w:val="24"/>
        </w:rPr>
        <w:t>頁面美編或其他市場調查相關內容</w:t>
      </w:r>
      <w:r w:rsidR="000E562C">
        <w:rPr>
          <w:rFonts w:hint="eastAsia"/>
          <w:sz w:val="24"/>
          <w:szCs w:val="24"/>
        </w:rPr>
        <w:t>補充</w:t>
      </w:r>
      <w:r w:rsidR="0011294E">
        <w:rPr>
          <w:rFonts w:hint="eastAsia"/>
          <w:sz w:val="24"/>
          <w:szCs w:val="24"/>
        </w:rPr>
        <w:t>、預計採行之貿易條件</w:t>
      </w:r>
      <w:r w:rsidR="00122F1A">
        <w:rPr>
          <w:rFonts w:hint="eastAsia"/>
          <w:sz w:val="24"/>
          <w:szCs w:val="24"/>
        </w:rPr>
        <w:t>等</w:t>
      </w:r>
      <w:r w:rsidR="0011294E">
        <w:rPr>
          <w:rFonts w:hint="eastAsia"/>
          <w:sz w:val="24"/>
          <w:szCs w:val="24"/>
        </w:rPr>
        <w:t>細節</w:t>
      </w:r>
      <w:r w:rsidR="00122F1A">
        <w:rPr>
          <w:rFonts w:hint="eastAsia"/>
          <w:sz w:val="24"/>
          <w:szCs w:val="24"/>
        </w:rPr>
        <w:t>。</w:t>
      </w:r>
    </w:p>
    <w:p w14:paraId="1DC39D27" w14:textId="77777777" w:rsidR="00745031" w:rsidRPr="00122F1A" w:rsidRDefault="00745031" w:rsidP="00122F1A">
      <w:pPr>
        <w:pStyle w:val="ae"/>
        <w:spacing w:after="0" w:line="240" w:lineRule="auto"/>
        <w:ind w:left="1320"/>
        <w:rPr>
          <w:sz w:val="24"/>
          <w:szCs w:val="24"/>
        </w:rPr>
      </w:pPr>
    </w:p>
    <w:p w14:paraId="471C373A" w14:textId="77777777" w:rsidR="008767EA" w:rsidRDefault="008767EA" w:rsidP="000847C2">
      <w:pPr>
        <w:pStyle w:val="ae"/>
        <w:spacing w:after="0" w:line="240" w:lineRule="auto"/>
        <w:ind w:left="840"/>
        <w:rPr>
          <w:sz w:val="24"/>
          <w:szCs w:val="24"/>
        </w:rPr>
        <w:sectPr w:rsidR="008767EA" w:rsidSect="00F25AFF">
          <w:footerReference w:type="default" r:id="rId8"/>
          <w:pgSz w:w="11906" w:h="16838"/>
          <w:pgMar w:top="720" w:right="720" w:bottom="720" w:left="720" w:header="851" w:footer="379" w:gutter="0"/>
          <w:cols w:space="425"/>
          <w:docGrid w:type="lines" w:linePitch="360"/>
        </w:sectPr>
      </w:pPr>
    </w:p>
    <w:p w14:paraId="5DE51182" w14:textId="1B9FA0BD" w:rsidR="002D067F" w:rsidRPr="002D067F" w:rsidRDefault="002D067F" w:rsidP="00B21B9A">
      <w:pPr>
        <w:pStyle w:val="ae"/>
        <w:numPr>
          <w:ilvl w:val="0"/>
          <w:numId w:val="9"/>
        </w:numPr>
        <w:spacing w:after="0" w:line="240" w:lineRule="auto"/>
        <w:rPr>
          <w:rFonts w:ascii="標楷體" w:eastAsia="標楷體" w:hAnsi="標楷體"/>
          <w:color w:val="BF4E14" w:themeColor="accent2" w:themeShade="BF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D067F">
        <w:rPr>
          <w:rFonts w:ascii="標楷體" w:eastAsia="標楷體" w:hAnsi="標楷體" w:hint="eastAsia"/>
          <w:color w:val="BF4E14" w:themeColor="accent2" w:themeShade="BF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泰國向台灣進口冷凍魚的理由</w:t>
      </w:r>
    </w:p>
    <w:p w14:paraId="48521228" w14:textId="6AB42971" w:rsidR="002D067F" w:rsidRPr="002D067F" w:rsidRDefault="002D067F" w:rsidP="00781FEE">
      <w:pPr>
        <w:pStyle w:val="ae"/>
        <w:spacing w:after="0" w:line="240" w:lineRule="exact"/>
        <w:ind w:left="840"/>
        <w:jc w:val="both"/>
        <w:rPr>
          <w:rFonts w:ascii="標楷體" w:eastAsia="標楷體" w:hAnsi="標楷體"/>
          <w:sz w:val="22"/>
          <w:szCs w:val="24"/>
        </w:rPr>
      </w:pPr>
      <w:r>
        <w:rPr>
          <w:rFonts w:ascii="標楷體" w:eastAsia="標楷體" w:hAnsi="標楷體"/>
          <w:b/>
          <w:sz w:val="22"/>
          <w:szCs w:val="24"/>
        </w:rPr>
        <w:t>1.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台灣漁業產業優異</w:t>
      </w:r>
      <w:r w:rsidRPr="002D067F">
        <w:rPr>
          <w:rFonts w:ascii="標楷體" w:eastAsia="標楷體" w:hAnsi="標楷體" w:hint="eastAsia"/>
          <w:sz w:val="22"/>
          <w:szCs w:val="24"/>
        </w:rPr>
        <w:t>：根據2015年8月農業部報告，2014年台灣遠洋漁業年產值超過400億元，位居全球前三，品質和產量均優於其他國家。</w:t>
      </w:r>
    </w:p>
    <w:p w14:paraId="2160D88E" w14:textId="473FC325" w:rsidR="002D067F" w:rsidRDefault="002D067F" w:rsidP="00781FEE">
      <w:pPr>
        <w:pStyle w:val="ae"/>
        <w:spacing w:after="0" w:line="240" w:lineRule="exact"/>
        <w:ind w:left="840"/>
        <w:jc w:val="both"/>
        <w:rPr>
          <w:rFonts w:ascii="標楷體" w:eastAsia="標楷體" w:hAnsi="標楷體"/>
          <w:sz w:val="22"/>
          <w:szCs w:val="24"/>
        </w:rPr>
      </w:pPr>
      <w:r>
        <w:rPr>
          <w:rFonts w:ascii="標楷體" w:eastAsia="標楷體" w:hAnsi="標楷體" w:hint="eastAsia"/>
          <w:b/>
          <w:sz w:val="22"/>
          <w:szCs w:val="24"/>
        </w:rPr>
        <w:t>2</w:t>
      </w:r>
      <w:r>
        <w:rPr>
          <w:rFonts w:ascii="標楷體" w:eastAsia="標楷體" w:hAnsi="標楷體"/>
          <w:b/>
          <w:sz w:val="22"/>
          <w:szCs w:val="24"/>
        </w:rPr>
        <w:t>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地理位置優勢</w:t>
      </w:r>
      <w:r w:rsidRPr="002D067F">
        <w:rPr>
          <w:rFonts w:ascii="標楷體" w:eastAsia="標楷體" w:hAnsi="標楷體" w:hint="eastAsia"/>
          <w:sz w:val="22"/>
          <w:szCs w:val="24"/>
        </w:rPr>
        <w:t>：台灣位於亞熱帶地區，適合魚苗培育，且養殖和生產技術領先，使得台灣的外銷產量持續上升，這不僅體現了技術優勢，也因地理位置便利促進了運輸效率。</w:t>
      </w:r>
    </w:p>
    <w:p w14:paraId="104E014A" w14:textId="4EFD4FF2" w:rsidR="002D067F" w:rsidRPr="002D067F" w:rsidRDefault="002D067F" w:rsidP="00B21B9A">
      <w:pPr>
        <w:pStyle w:val="ae"/>
        <w:numPr>
          <w:ilvl w:val="0"/>
          <w:numId w:val="9"/>
        </w:numPr>
        <w:spacing w:after="0" w:line="240" w:lineRule="auto"/>
        <w:rPr>
          <w:rFonts w:ascii="標楷體" w:eastAsia="標楷體" w:hAnsi="標楷體"/>
          <w:color w:val="BF4E14" w:themeColor="accent2" w:themeShade="BF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D067F">
        <w:rPr>
          <w:rFonts w:ascii="標楷體" w:eastAsia="標楷體" w:hAnsi="標楷體" w:hint="eastAsia"/>
          <w:color w:val="BF4E14" w:themeColor="accent2" w:themeShade="BF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泰國進口台灣冷凍魚的利基</w:t>
      </w:r>
    </w:p>
    <w:p w14:paraId="20B64391" w14:textId="79E8ACCB" w:rsidR="002D067F" w:rsidRPr="002D067F" w:rsidRDefault="002D067F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 w:val="22"/>
          <w:szCs w:val="24"/>
        </w:rPr>
      </w:pPr>
      <w:r w:rsidRPr="00781FEE">
        <w:rPr>
          <w:rFonts w:ascii="標楷體" w:eastAsia="標楷體" w:hAnsi="標楷體" w:hint="eastAsia"/>
          <w:b/>
          <w:sz w:val="22"/>
          <w:szCs w:val="24"/>
        </w:rPr>
        <w:t>1</w:t>
      </w:r>
      <w:r w:rsidRPr="00781FEE">
        <w:rPr>
          <w:rFonts w:ascii="標楷體" w:eastAsia="標楷體" w:hAnsi="標楷體"/>
          <w:b/>
          <w:sz w:val="22"/>
          <w:szCs w:val="24"/>
        </w:rPr>
        <w:t>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品質穩定</w:t>
      </w:r>
      <w:r w:rsidRPr="002D067F">
        <w:rPr>
          <w:rFonts w:ascii="標楷體" w:eastAsia="標楷體" w:hAnsi="標楷體" w:hint="eastAsia"/>
          <w:sz w:val="22"/>
          <w:szCs w:val="24"/>
        </w:rPr>
        <w:t>：台灣冷凍魚符合國際品質與衛生標準，冷凍技術優越，有效保持魚類的鮮度和肉質。</w:t>
      </w:r>
    </w:p>
    <w:p w14:paraId="635F1454" w14:textId="00A6BBF0" w:rsidR="002D067F" w:rsidRPr="002D067F" w:rsidRDefault="002D067F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 w:val="22"/>
          <w:szCs w:val="24"/>
        </w:rPr>
      </w:pPr>
      <w:r w:rsidRPr="00781FEE">
        <w:rPr>
          <w:rFonts w:ascii="標楷體" w:eastAsia="標楷體" w:hAnsi="標楷體" w:hint="eastAsia"/>
          <w:b/>
          <w:sz w:val="22"/>
          <w:szCs w:val="24"/>
        </w:rPr>
        <w:t>2</w:t>
      </w:r>
      <w:r w:rsidRPr="00781FEE">
        <w:rPr>
          <w:rFonts w:ascii="標楷體" w:eastAsia="標楷體" w:hAnsi="標楷體"/>
          <w:b/>
          <w:sz w:val="22"/>
          <w:szCs w:val="24"/>
        </w:rPr>
        <w:t>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品種多樣性</w:t>
      </w:r>
      <w:r w:rsidRPr="002D067F">
        <w:rPr>
          <w:rFonts w:ascii="標楷體" w:eastAsia="標楷體" w:hAnsi="標楷體" w:hint="eastAsia"/>
          <w:sz w:val="22"/>
          <w:szCs w:val="24"/>
        </w:rPr>
        <w:t>：雖然泰國有漁業，但部分冷水魚和特定品種在當地較稀缺，因此必須依賴進口。台灣的地理優勢使其能捕撈多種魚類，滿足泰國市場需求。</w:t>
      </w:r>
    </w:p>
    <w:p w14:paraId="3907FB12" w14:textId="3CDEB658" w:rsidR="002D067F" w:rsidRDefault="002D067F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 w:val="22"/>
          <w:szCs w:val="24"/>
        </w:rPr>
      </w:pPr>
      <w:r w:rsidRPr="00781FEE">
        <w:rPr>
          <w:rFonts w:ascii="標楷體" w:eastAsia="標楷體" w:hAnsi="標楷體" w:hint="eastAsia"/>
          <w:b/>
          <w:sz w:val="22"/>
          <w:szCs w:val="24"/>
        </w:rPr>
        <w:t>3</w:t>
      </w:r>
      <w:r w:rsidRPr="00781FEE">
        <w:rPr>
          <w:rFonts w:ascii="標楷體" w:eastAsia="標楷體" w:hAnsi="標楷體"/>
          <w:b/>
          <w:sz w:val="22"/>
          <w:szCs w:val="24"/>
        </w:rPr>
        <w:t>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價格競爭力</w:t>
      </w:r>
      <w:r w:rsidRPr="002D067F">
        <w:rPr>
          <w:rFonts w:ascii="標楷體" w:eastAsia="標楷體" w:hAnsi="標楷體" w:hint="eastAsia"/>
          <w:sz w:val="22"/>
          <w:szCs w:val="24"/>
        </w:rPr>
        <w:t>：相較於歐美和日本，台灣冷凍魚價格更具吸引力。由於距離較近，運輸成本較低，加上台灣與泰國簽訂的東協貿易協定減少了關稅，進一步降低了購買成本，使台灣冷凍魚在泰國市場佔有一席之地。</w:t>
      </w:r>
    </w:p>
    <w:p w14:paraId="3107F6E2" w14:textId="45DECCE4" w:rsidR="002D067F" w:rsidRPr="00781FEE" w:rsidRDefault="002D067F" w:rsidP="00B21B9A">
      <w:pPr>
        <w:pStyle w:val="ae"/>
        <w:numPr>
          <w:ilvl w:val="0"/>
          <w:numId w:val="9"/>
        </w:numPr>
        <w:spacing w:after="0" w:line="240" w:lineRule="auto"/>
        <w:jc w:val="both"/>
        <w:rPr>
          <w:rFonts w:ascii="標楷體" w:eastAsia="標楷體" w:hAnsi="標楷體"/>
          <w:color w:val="BF4E14" w:themeColor="accent2" w:themeShade="BF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81FEE">
        <w:rPr>
          <w:rFonts w:ascii="標楷體" w:eastAsia="標楷體" w:hAnsi="標楷體" w:hint="eastAsia"/>
          <w:color w:val="BF4E14" w:themeColor="accent2" w:themeShade="BF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泰國進口台灣冷凍魚的困難與挑戰</w:t>
      </w:r>
    </w:p>
    <w:p w14:paraId="19004662" w14:textId="77777777" w:rsidR="00B21B9A" w:rsidRDefault="002D067F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 w:val="22"/>
          <w:szCs w:val="24"/>
        </w:rPr>
      </w:pPr>
      <w:r w:rsidRPr="00781FEE">
        <w:rPr>
          <w:rFonts w:ascii="標楷體" w:eastAsia="標楷體" w:hAnsi="標楷體" w:hint="eastAsia"/>
          <w:b/>
          <w:sz w:val="22"/>
          <w:szCs w:val="24"/>
        </w:rPr>
        <w:t>1</w:t>
      </w:r>
      <w:r w:rsidRPr="00781FEE">
        <w:rPr>
          <w:rFonts w:ascii="標楷體" w:eastAsia="標楷體" w:hAnsi="標楷體"/>
          <w:b/>
          <w:sz w:val="22"/>
          <w:szCs w:val="24"/>
        </w:rPr>
        <w:t>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自由貿易協定的競爭</w:t>
      </w:r>
      <w:r w:rsidRPr="002D067F">
        <w:rPr>
          <w:rFonts w:ascii="標楷體" w:eastAsia="標楷體" w:hAnsi="標楷體" w:hint="eastAsia"/>
          <w:sz w:val="22"/>
          <w:szCs w:val="24"/>
        </w:rPr>
        <w:t>：</w:t>
      </w:r>
      <w:r w:rsidR="00B21B9A" w:rsidRPr="00B21B9A">
        <w:rPr>
          <w:rFonts w:ascii="標楷體" w:eastAsia="標楷體" w:hAnsi="標楷體" w:hint="eastAsia"/>
          <w:sz w:val="22"/>
          <w:szCs w:val="24"/>
        </w:rPr>
        <w:t>作為東南亞國家聯盟（ASEAN）的成員，泰國與其他國家簽訂的許多貿易協定使其在貿易上獲得優勢，這讓台灣面臨更激烈的競爭。由於台灣尚未簽訂相關協定，這影響了其在泰國市場的進口量。</w:t>
      </w:r>
    </w:p>
    <w:p w14:paraId="4C18765B" w14:textId="641F1F4A" w:rsidR="002D067F" w:rsidRPr="002D067F" w:rsidRDefault="002D067F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 w:val="22"/>
          <w:szCs w:val="24"/>
        </w:rPr>
      </w:pPr>
      <w:r w:rsidRPr="00781FEE">
        <w:rPr>
          <w:rFonts w:ascii="標楷體" w:eastAsia="標楷體" w:hAnsi="標楷體" w:hint="eastAsia"/>
          <w:b/>
          <w:sz w:val="22"/>
          <w:szCs w:val="24"/>
        </w:rPr>
        <w:t>2</w:t>
      </w:r>
      <w:r w:rsidRPr="00781FEE">
        <w:rPr>
          <w:rFonts w:ascii="標楷體" w:eastAsia="標楷體" w:hAnsi="標楷體"/>
          <w:b/>
          <w:sz w:val="22"/>
          <w:szCs w:val="24"/>
        </w:rPr>
        <w:t>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運輸成本上升</w:t>
      </w:r>
      <w:r w:rsidRPr="002D067F">
        <w:rPr>
          <w:rFonts w:ascii="標楷體" w:eastAsia="標楷體" w:hAnsi="標楷體" w:hint="eastAsia"/>
          <w:sz w:val="22"/>
          <w:szCs w:val="24"/>
        </w:rPr>
        <w:t>：2023、2024年運輸費用上升，推高整體產品成本，泰國可能會選擇更鄰近國家進行貿易。</w:t>
      </w:r>
    </w:p>
    <w:p w14:paraId="6181543A" w14:textId="1B1BF3B9" w:rsidR="002D067F" w:rsidRPr="002D067F" w:rsidRDefault="002D067F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 w:val="22"/>
          <w:szCs w:val="24"/>
        </w:rPr>
      </w:pPr>
      <w:r w:rsidRPr="00781FEE">
        <w:rPr>
          <w:rFonts w:ascii="標楷體" w:eastAsia="標楷體" w:hAnsi="標楷體" w:hint="eastAsia"/>
          <w:b/>
          <w:sz w:val="22"/>
          <w:szCs w:val="24"/>
        </w:rPr>
        <w:t>3</w:t>
      </w:r>
      <w:r w:rsidRPr="00781FEE">
        <w:rPr>
          <w:rFonts w:ascii="標楷體" w:eastAsia="標楷體" w:hAnsi="標楷體"/>
          <w:b/>
          <w:sz w:val="22"/>
          <w:szCs w:val="24"/>
        </w:rPr>
        <w:t>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市場需求變化</w:t>
      </w:r>
      <w:r w:rsidR="00B21B9A">
        <w:rPr>
          <w:rFonts w:ascii="標楷體" w:eastAsia="標楷體" w:hAnsi="標楷體" w:hint="eastAsia"/>
          <w:sz w:val="22"/>
          <w:szCs w:val="24"/>
        </w:rPr>
        <w:t>：近年來國際市場對冷凍魚需求減少，特別是疫情影響了供應鏈，使</w:t>
      </w:r>
      <w:r w:rsidRPr="002D067F">
        <w:rPr>
          <w:rFonts w:ascii="標楷體" w:eastAsia="標楷體" w:hAnsi="標楷體" w:hint="eastAsia"/>
          <w:sz w:val="22"/>
          <w:szCs w:val="24"/>
        </w:rPr>
        <w:t>台灣出口量下降。</w:t>
      </w:r>
    </w:p>
    <w:p w14:paraId="035B2CF8" w14:textId="20259189" w:rsidR="002D067F" w:rsidRDefault="002D067F" w:rsidP="00B21B9A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 w:val="22"/>
          <w:szCs w:val="24"/>
        </w:rPr>
      </w:pPr>
      <w:r w:rsidRPr="00781FEE">
        <w:rPr>
          <w:rFonts w:ascii="標楷體" w:eastAsia="標楷體" w:hAnsi="標楷體" w:hint="eastAsia"/>
          <w:b/>
          <w:sz w:val="22"/>
          <w:szCs w:val="24"/>
        </w:rPr>
        <w:t>4</w:t>
      </w:r>
      <w:r w:rsidRPr="00781FEE">
        <w:rPr>
          <w:rFonts w:ascii="標楷體" w:eastAsia="標楷體" w:hAnsi="標楷體"/>
          <w:b/>
          <w:sz w:val="22"/>
          <w:szCs w:val="24"/>
        </w:rPr>
        <w:t>.</w:t>
      </w:r>
      <w:r w:rsidRPr="00781FEE">
        <w:rPr>
          <w:rFonts w:ascii="標楷體" w:eastAsia="標楷體" w:hAnsi="標楷體" w:hint="eastAsia"/>
          <w:b/>
          <w:color w:val="C00000"/>
          <w:sz w:val="22"/>
          <w:szCs w:val="24"/>
        </w:rPr>
        <w:t>進口額下降</w:t>
      </w:r>
      <w:r w:rsidRPr="002D067F">
        <w:rPr>
          <w:rFonts w:ascii="標楷體" w:eastAsia="標楷體" w:hAnsi="標楷體" w:hint="eastAsia"/>
          <w:sz w:val="22"/>
          <w:szCs w:val="24"/>
        </w:rPr>
        <w:t>：數據顯示，台灣的進口額在2019年至2020年期間顯著增加，但在接下來幾年中急劇下降，特別是在2021年和2022</w:t>
      </w:r>
      <w:r>
        <w:rPr>
          <w:rFonts w:ascii="標楷體" w:eastAsia="標楷體" w:hAnsi="標楷體" w:hint="eastAsia"/>
          <w:sz w:val="22"/>
          <w:szCs w:val="24"/>
        </w:rPr>
        <w:t>年</w:t>
      </w:r>
      <w:r w:rsidRPr="002D067F">
        <w:rPr>
          <w:rFonts w:ascii="標楷體" w:eastAsia="標楷體" w:hAnsi="標楷體" w:hint="eastAsia"/>
          <w:sz w:val="22"/>
          <w:szCs w:val="24"/>
        </w:rPr>
        <w:t>，進口額幾乎降至微乎其微的水平</w:t>
      </w:r>
      <w:r>
        <w:rPr>
          <w:rFonts w:ascii="標楷體" w:eastAsia="標楷體" w:hAnsi="標楷體" w:hint="eastAsia"/>
          <w:sz w:val="22"/>
          <w:szCs w:val="24"/>
        </w:rPr>
        <w:t>，</w:t>
      </w:r>
      <w:r w:rsidRPr="002D067F">
        <w:rPr>
          <w:rFonts w:ascii="標楷體" w:eastAsia="標楷體" w:hAnsi="標楷體" w:hint="eastAsia"/>
          <w:sz w:val="22"/>
          <w:szCs w:val="24"/>
        </w:rPr>
        <w:t>顯示出進口市場面臨重大挑戰。與此同時，阿曼、印尼、馬來西亞等國的進口額持續高於台灣，顯示這些國家在某些產品或市場上具競爭力。</w:t>
      </w:r>
    </w:p>
    <w:p w14:paraId="21A4D60D" w14:textId="3485ADA3" w:rsidR="00781FEE" w:rsidRDefault="002D067F" w:rsidP="00781FEE">
      <w:pPr>
        <w:pStyle w:val="ae"/>
        <w:spacing w:after="0" w:line="240" w:lineRule="auto"/>
        <w:ind w:left="840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表</w:t>
      </w:r>
      <w:r>
        <w:rPr>
          <w:rFonts w:ascii="標楷體" w:eastAsia="標楷體" w:hAnsi="標楷體"/>
          <w:szCs w:val="24"/>
        </w:rPr>
        <w:t xml:space="preserve">1-1 </w:t>
      </w:r>
      <w:r w:rsidRPr="0076649C">
        <w:rPr>
          <w:rFonts w:ascii="標楷體" w:eastAsia="標楷體" w:hAnsi="標楷體" w:hint="eastAsia"/>
          <w:szCs w:val="24"/>
        </w:rPr>
        <w:t>泰國進口產品供應清單</w:t>
      </w:r>
    </w:p>
    <w:tbl>
      <w:tblPr>
        <w:tblpPr w:leftFromText="180" w:rightFromText="180" w:vertAnchor="page" w:horzAnchor="margin" w:tblpXSpec="center" w:tblpY="8184"/>
        <w:tblW w:w="3491" w:type="pct"/>
        <w:tblBorders>
          <w:top w:val="outset" w:sz="6" w:space="0" w:color="002B54"/>
          <w:left w:val="outset" w:sz="6" w:space="0" w:color="002B54"/>
          <w:bottom w:val="outset" w:sz="6" w:space="0" w:color="002B54"/>
          <w:right w:val="outset" w:sz="6" w:space="0" w:color="002B54"/>
        </w:tblBorders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2347"/>
        <w:gridCol w:w="992"/>
        <w:gridCol w:w="991"/>
        <w:gridCol w:w="991"/>
        <w:gridCol w:w="991"/>
        <w:gridCol w:w="984"/>
      </w:tblGrid>
      <w:tr w:rsidR="00B21B9A" w:rsidRPr="002D067F" w14:paraId="5A680CA3" w14:textId="77777777" w:rsidTr="00B21B9A">
        <w:trPr>
          <w:trHeight w:val="16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63DE1244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  <w:t>Exporters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596FB236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  <w:t>Imported value in 2019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2D14B6F5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  <w:t>Imported value in 2020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0EBB99B7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  <w:t>Imported value in 2021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4E04CA9C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  <w:t>Imported value in 2022</w:t>
            </w:r>
          </w:p>
        </w:tc>
        <w:tc>
          <w:tcPr>
            <w:tcW w:w="6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28DDA74D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Times New Roman" w:eastAsia="新細明體" w:hAnsi="Times New Roman" w:cs="Times New Roman"/>
                <w:b/>
                <w:bCs/>
                <w:color w:val="FFFFFF"/>
                <w:kern w:val="0"/>
                <w:sz w:val="18"/>
                <w:szCs w:val="19"/>
                <w14:ligatures w14:val="none"/>
              </w:rPr>
              <w:t>Imported value in 2023</w:t>
            </w:r>
          </w:p>
        </w:tc>
      </w:tr>
      <w:tr w:rsidR="00B21B9A" w:rsidRPr="002D067F" w14:paraId="74D1D17A" w14:textId="77777777" w:rsidTr="00B21B9A">
        <w:trPr>
          <w:trHeight w:val="95"/>
        </w:trPr>
        <w:tc>
          <w:tcPr>
            <w:tcW w:w="16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B9B6FC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Oman 阿曼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ADBF5B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3,596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92EFC7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14,160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05B0CF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12,903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5CD76F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7,044</w:t>
            </w:r>
          </w:p>
        </w:tc>
        <w:tc>
          <w:tcPr>
            <w:tcW w:w="6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C175D3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6,904</w:t>
            </w:r>
          </w:p>
        </w:tc>
      </w:tr>
      <w:tr w:rsidR="00B21B9A" w:rsidRPr="002D067F" w14:paraId="1574D1CF" w14:textId="77777777" w:rsidTr="00B21B9A">
        <w:trPr>
          <w:trHeight w:val="93"/>
        </w:trPr>
        <w:tc>
          <w:tcPr>
            <w:tcW w:w="16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305E2D82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 xml:space="preserve">Indonesia </w:t>
            </w:r>
            <w:hyperlink r:id="rId9" w:history="1">
              <w:r w:rsidRPr="002D067F">
                <w:rPr>
                  <w:rFonts w:ascii="標楷體" w:eastAsia="標楷體" w:hAnsi="標楷體" w:cs="Times New Roman"/>
                  <w:color w:val="FF0000"/>
                  <w:kern w:val="0"/>
                  <w:sz w:val="18"/>
                  <w:szCs w:val="18"/>
                  <w:u w:val="single"/>
                  <w:shd w:val="clear" w:color="auto" w:fill="F7F6F3"/>
                  <w14:ligatures w14:val="none"/>
                </w:rPr>
                <w:t>印尼</w:t>
              </w:r>
            </w:hyperlink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28049531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4,975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52DC3EC8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5,772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66617185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2,036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434CE69D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2,632</w:t>
            </w:r>
          </w:p>
        </w:tc>
        <w:tc>
          <w:tcPr>
            <w:tcW w:w="6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7837F311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2,645</w:t>
            </w:r>
          </w:p>
        </w:tc>
      </w:tr>
      <w:tr w:rsidR="00B21B9A" w:rsidRPr="002D067F" w14:paraId="346D1491" w14:textId="77777777" w:rsidTr="00B21B9A">
        <w:trPr>
          <w:trHeight w:val="95"/>
        </w:trPr>
        <w:tc>
          <w:tcPr>
            <w:tcW w:w="16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A1A4C7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Malaysia 馬來西亞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3B3111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4,147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D66404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18,743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C7DD9F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27,324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8DF360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6,546</w:t>
            </w:r>
          </w:p>
        </w:tc>
        <w:tc>
          <w:tcPr>
            <w:tcW w:w="6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BEA92E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1,984</w:t>
            </w:r>
          </w:p>
        </w:tc>
      </w:tr>
      <w:tr w:rsidR="00B21B9A" w:rsidRPr="002D067F" w14:paraId="7A63EC64" w14:textId="77777777" w:rsidTr="00B21B9A">
        <w:trPr>
          <w:trHeight w:val="64"/>
        </w:trPr>
        <w:tc>
          <w:tcPr>
            <w:tcW w:w="16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57BAC3C2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Iran,</w:t>
            </w:r>
            <w:hyperlink r:id="rId10" w:history="1">
              <w:r w:rsidRPr="002D067F">
                <w:rPr>
                  <w:rFonts w:ascii="標楷體" w:eastAsia="標楷體" w:hAnsi="標楷體" w:cs="Times New Roman"/>
                  <w:color w:val="FF0000"/>
                  <w:kern w:val="0"/>
                  <w:sz w:val="18"/>
                  <w:szCs w:val="18"/>
                  <w:u w:val="single"/>
                  <w:shd w:val="clear" w:color="auto" w:fill="F7F6F3"/>
                  <w14:ligatures w14:val="none"/>
                </w:rPr>
                <w:t>伊朗伊斯蘭共和國</w:t>
              </w:r>
            </w:hyperlink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32F4D573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3,280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75AD6CCC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17,883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1933CE04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14,555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73732553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1,763</w:t>
            </w:r>
          </w:p>
        </w:tc>
        <w:tc>
          <w:tcPr>
            <w:tcW w:w="6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236BD1FF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1,888</w:t>
            </w:r>
          </w:p>
        </w:tc>
      </w:tr>
      <w:tr w:rsidR="00B21B9A" w:rsidRPr="002D067F" w14:paraId="3D3321C2" w14:textId="77777777" w:rsidTr="00B21B9A">
        <w:trPr>
          <w:trHeight w:val="95"/>
        </w:trPr>
        <w:tc>
          <w:tcPr>
            <w:tcW w:w="16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70A07A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Yemen 葉門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C954BF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3,088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C4D07F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5,149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7F58F4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3,127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8440AF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1,219</w:t>
            </w:r>
          </w:p>
        </w:tc>
        <w:tc>
          <w:tcPr>
            <w:tcW w:w="6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B274AF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FF0000"/>
                <w:kern w:val="0"/>
                <w:sz w:val="18"/>
                <w:szCs w:val="19"/>
                <w14:ligatures w14:val="none"/>
              </w:rPr>
              <w:t>1,675</w:t>
            </w:r>
          </w:p>
        </w:tc>
      </w:tr>
      <w:tr w:rsidR="00B21B9A" w:rsidRPr="002D067F" w14:paraId="7C180C41" w14:textId="77777777" w:rsidTr="00B21B9A">
        <w:trPr>
          <w:trHeight w:val="93"/>
        </w:trPr>
        <w:tc>
          <w:tcPr>
            <w:tcW w:w="16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6DA2F48D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  <w:t xml:space="preserve">Taipei, Chinese </w:t>
            </w:r>
            <w:r w:rsidRPr="002D067F">
              <w:rPr>
                <w:rFonts w:ascii="標楷體" w:eastAsia="標楷體" w:hAnsi="標楷體" w:cs="Times New Roman"/>
                <w:kern w:val="0"/>
                <w:sz w:val="18"/>
                <w:szCs w:val="18"/>
                <w:highlight w:val="yellow"/>
                <w:shd w:val="clear" w:color="auto" w:fill="F7F6F3"/>
                <w14:ligatures w14:val="none"/>
              </w:rPr>
              <w:t>台北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1F8CC6B3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  <w:t>1,901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76AF9611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  <w:t>5,098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491D1099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  <w:t>140</w:t>
            </w:r>
          </w:p>
        </w:tc>
        <w:tc>
          <w:tcPr>
            <w:tcW w:w="6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7B129253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  <w:t>17</w:t>
            </w:r>
          </w:p>
        </w:tc>
        <w:tc>
          <w:tcPr>
            <w:tcW w:w="6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6F3"/>
            <w:vAlign w:val="center"/>
            <w:hideMark/>
          </w:tcPr>
          <w:p w14:paraId="128464B4" w14:textId="77777777" w:rsidR="00B21B9A" w:rsidRPr="002D067F" w:rsidRDefault="00B21B9A" w:rsidP="00B21B9A">
            <w:pPr>
              <w:widowControl/>
              <w:snapToGrid w:val="0"/>
              <w:spacing w:after="0" w:line="240" w:lineRule="atLeast"/>
              <w:jc w:val="both"/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</w:pPr>
            <w:r w:rsidRPr="002D067F">
              <w:rPr>
                <w:rFonts w:ascii="標楷體" w:eastAsia="標楷體" w:hAnsi="標楷體" w:cs="Times New Roman"/>
                <w:color w:val="002B54"/>
                <w:kern w:val="0"/>
                <w:sz w:val="18"/>
                <w:szCs w:val="19"/>
                <w:highlight w:val="yellow"/>
                <w14:ligatures w14:val="none"/>
              </w:rPr>
              <w:t>295</w:t>
            </w:r>
          </w:p>
        </w:tc>
      </w:tr>
    </w:tbl>
    <w:p w14:paraId="3AC710C7" w14:textId="413F87A2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3D433535" w14:textId="667446F5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15D31002" w14:textId="3125F38C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17FD0C6A" w14:textId="580085C6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2718D3C6" w14:textId="2397A974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0C4C95F8" w14:textId="6E2BE2CE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24A8D945" w14:textId="3BDA3730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3D83F412" w14:textId="47D71E5B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22B47435" w14:textId="189EFFD1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26C8AB7A" w14:textId="1CD64515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6324F02A" w14:textId="614F232A" w:rsidR="00B21B9A" w:rsidRDefault="00B21B9A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3404F44D" w14:textId="77777777" w:rsidR="00B21B9A" w:rsidRDefault="00B21B9A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Cs w:val="24"/>
        </w:rPr>
      </w:pPr>
    </w:p>
    <w:p w14:paraId="6686D456" w14:textId="11ED9BBA" w:rsidR="00781FEE" w:rsidRP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b/>
          <w:color w:val="BF4E14" w:themeColor="accent2" w:themeShade="BF"/>
          <w:sz w:val="24"/>
          <w:szCs w:val="24"/>
        </w:rPr>
      </w:pPr>
      <w:r w:rsidRPr="00781FEE">
        <w:rPr>
          <w:rFonts w:ascii="標楷體" w:eastAsia="標楷體" w:hAnsi="標楷體" w:hint="eastAsia"/>
          <w:color w:val="BF4E14" w:themeColor="accent2" w:themeShade="BF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解決泰國進口台灣冷凍魚的困難與挑戰，泰國可以採取以下策略</w:t>
      </w:r>
      <w:r w:rsidRPr="00781FEE">
        <w:rPr>
          <w:rFonts w:ascii="標楷體" w:eastAsia="標楷體" w:hAnsi="標楷體" w:hint="eastAsia"/>
          <w:b/>
          <w:color w:val="BF4E14" w:themeColor="accent2" w:themeShade="BF"/>
          <w:sz w:val="24"/>
          <w:szCs w:val="24"/>
        </w:rPr>
        <w:t>：</w:t>
      </w:r>
    </w:p>
    <w:p w14:paraId="1F793F54" w14:textId="7F1794AD" w:rsidR="00781FEE" w:rsidRDefault="00781FEE" w:rsidP="00781FEE">
      <w:pPr>
        <w:pStyle w:val="ae"/>
        <w:spacing w:after="0" w:line="240" w:lineRule="auto"/>
        <w:ind w:left="840"/>
        <w:jc w:val="both"/>
        <w:rPr>
          <w:rFonts w:ascii="標楷體" w:eastAsia="標楷體" w:hAnsi="標楷體"/>
          <w:sz w:val="22"/>
          <w:szCs w:val="24"/>
        </w:rPr>
      </w:pPr>
      <w:r w:rsidRPr="00781FEE">
        <w:rPr>
          <w:rFonts w:ascii="標楷體" w:eastAsia="標楷體" w:hAnsi="標楷體" w:hint="eastAsia"/>
          <w:sz w:val="22"/>
          <w:szCs w:val="24"/>
        </w:rPr>
        <w:t>泰國應與台灣的冷凍魚供應商建立長期合作關係，以穩定貨源供應。透過共同研究和制定物流系統、庫存管理及營銷推廣策略，雙方可以針對各自需求和挑戰進行合作。同時，這將使台灣更深入了解泰國市場及其不同層次的需求，進一步提高雙方的互利性。</w:t>
      </w:r>
    </w:p>
    <w:p w14:paraId="706FD959" w14:textId="506EB7C9" w:rsidR="00742BB8" w:rsidRPr="00742BB8" w:rsidRDefault="00B21B9A" w:rsidP="00B21B9A">
      <w:pPr>
        <w:pStyle w:val="ae"/>
        <w:spacing w:after="0" w:line="240" w:lineRule="auto"/>
        <w:ind w:left="840"/>
        <w:rPr>
          <w:rFonts w:ascii="標楷體" w:eastAsia="標楷體" w:hAnsi="標楷體" w:hint="eastAsia"/>
          <w:sz w:val="22"/>
          <w:szCs w:val="24"/>
        </w:rPr>
        <w:sectPr w:rsidR="00742BB8" w:rsidRPr="00742BB8" w:rsidSect="00F25AFF">
          <w:headerReference w:type="default" r:id="rId11"/>
          <w:pgSz w:w="11906" w:h="16838"/>
          <w:pgMar w:top="720" w:right="720" w:bottom="720" w:left="720" w:header="851" w:footer="379" w:gutter="0"/>
          <w:cols w:space="425"/>
          <w:docGrid w:type="lines" w:linePitch="360"/>
        </w:sectPr>
      </w:pPr>
      <w:r>
        <w:rPr>
          <w:rFonts w:ascii="標楷體" w:eastAsia="標楷體" w:hAnsi="標楷體"/>
          <w:noProof/>
          <w:sz w:val="22"/>
          <w:szCs w:val="24"/>
        </w:rPr>
        <w:drawing>
          <wp:inline distT="0" distB="0" distL="0" distR="0" wp14:anchorId="428D8401" wp14:editId="4A0E04C3">
            <wp:extent cx="2687541" cy="208588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93" cy="2105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r w:rsidR="00742BB8" w:rsidRPr="00742BB8">
        <w:rPr>
          <w:rFonts w:ascii="標楷體" w:eastAsia="標楷體" w:hAnsi="標楷體"/>
          <w:noProof/>
          <w:sz w:val="22"/>
          <w:szCs w:val="24"/>
        </w:rPr>
        <w:drawing>
          <wp:inline distT="0" distB="0" distL="0" distR="0" wp14:anchorId="42F225FC" wp14:editId="50487C34">
            <wp:extent cx="2460929" cy="2205355"/>
            <wp:effectExtent l="0" t="0" r="0" b="444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5827" cy="2254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B238A72" w14:textId="6D958BE0" w:rsidR="00932CDF" w:rsidRPr="00932CDF" w:rsidRDefault="00932CDF" w:rsidP="00742BB8">
      <w:pPr>
        <w:widowControl/>
        <w:shd w:val="clear" w:color="auto" w:fill="FFFFFF"/>
        <w:spacing w:after="0" w:line="624" w:lineRule="atLeast"/>
        <w:rPr>
          <w:rFonts w:ascii="標楷體" w:eastAsia="標楷體" w:hAnsi="標楷體" w:cs="新細明體" w:hint="eastAsia"/>
          <w:color w:val="000000"/>
          <w:spacing w:val="15"/>
          <w:kern w:val="0"/>
          <w:sz w:val="16"/>
          <w:szCs w:val="16"/>
          <w14:ligatures w14:val="none"/>
        </w:rPr>
        <w:sectPr w:rsidR="00932CDF" w:rsidRPr="00932CDF" w:rsidSect="00742BB8">
          <w:type w:val="continuous"/>
          <w:pgSz w:w="11906" w:h="16838"/>
          <w:pgMar w:top="720" w:right="720" w:bottom="720" w:left="720" w:header="851" w:footer="379" w:gutter="0"/>
          <w:cols w:space="425"/>
          <w:docGrid w:type="lines" w:linePitch="360"/>
        </w:sectPr>
      </w:pPr>
    </w:p>
    <w:p w14:paraId="1D6BE4BB" w14:textId="77777777" w:rsidR="00742BB8" w:rsidRDefault="00742BB8" w:rsidP="00742BB8">
      <w:pPr>
        <w:pStyle w:val="ae"/>
        <w:spacing w:after="0" w:line="240" w:lineRule="auto"/>
        <w:jc w:val="both"/>
        <w:rPr>
          <w:rFonts w:ascii="標楷體" w:eastAsia="標楷體" w:hAnsi="標楷體" w:hint="eastAsia"/>
          <w:sz w:val="22"/>
          <w:szCs w:val="24"/>
        </w:rPr>
        <w:sectPr w:rsidR="00742BB8" w:rsidSect="00932CDF">
          <w:type w:val="continuous"/>
          <w:pgSz w:w="11906" w:h="16838"/>
          <w:pgMar w:top="720" w:right="720" w:bottom="720" w:left="720" w:header="851" w:footer="379" w:gutter="0"/>
          <w:cols w:space="425"/>
          <w:docGrid w:type="lines" w:linePitch="360"/>
        </w:sectPr>
      </w:pPr>
    </w:p>
    <w:p w14:paraId="30CB3AD7" w14:textId="0DF2246B" w:rsidR="00932CDF" w:rsidRPr="00781FEE" w:rsidRDefault="00932CDF" w:rsidP="00742BB8">
      <w:pPr>
        <w:pStyle w:val="ae"/>
        <w:spacing w:after="0" w:line="240" w:lineRule="auto"/>
        <w:jc w:val="both"/>
        <w:rPr>
          <w:rFonts w:ascii="標楷體" w:eastAsia="標楷體" w:hAnsi="標楷體" w:hint="eastAsia"/>
          <w:sz w:val="22"/>
          <w:szCs w:val="24"/>
        </w:rPr>
      </w:pPr>
    </w:p>
    <w:sectPr w:rsidR="00932CDF" w:rsidRPr="00781FEE" w:rsidSect="00932CDF">
      <w:type w:val="continuous"/>
      <w:pgSz w:w="11906" w:h="16838"/>
      <w:pgMar w:top="720" w:right="720" w:bottom="720" w:left="720" w:header="851" w:footer="37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A0921E" w14:textId="77777777" w:rsidR="00786D0B" w:rsidRDefault="00786D0B" w:rsidP="00B84EEF">
      <w:pPr>
        <w:spacing w:after="0" w:line="240" w:lineRule="auto"/>
      </w:pPr>
      <w:r>
        <w:separator/>
      </w:r>
    </w:p>
  </w:endnote>
  <w:endnote w:type="continuationSeparator" w:id="0">
    <w:p w14:paraId="49C1C593" w14:textId="77777777" w:rsidR="00786D0B" w:rsidRDefault="00786D0B" w:rsidP="00B84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58069532"/>
      <w:docPartObj>
        <w:docPartGallery w:val="Page Numbers (Bottom of Page)"/>
        <w:docPartUnique/>
      </w:docPartObj>
    </w:sdtPr>
    <w:sdtEndPr/>
    <w:sdtContent>
      <w:p w14:paraId="591DD22A" w14:textId="2F9ED45B" w:rsidR="000E5577" w:rsidRDefault="000E5577" w:rsidP="00F25AFF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69B0" w:rsidRPr="009469B0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F01870" w14:textId="77777777" w:rsidR="00786D0B" w:rsidRDefault="00786D0B" w:rsidP="00B84EEF">
      <w:pPr>
        <w:spacing w:after="0" w:line="240" w:lineRule="auto"/>
      </w:pPr>
      <w:r>
        <w:separator/>
      </w:r>
    </w:p>
  </w:footnote>
  <w:footnote w:type="continuationSeparator" w:id="0">
    <w:p w14:paraId="170F5708" w14:textId="77777777" w:rsidR="00786D0B" w:rsidRDefault="00786D0B" w:rsidP="00B84E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37A0E1" w14:textId="77777777" w:rsidR="000E5577" w:rsidRPr="002402DF" w:rsidRDefault="000E5577" w:rsidP="002402DF">
    <w:pPr>
      <w:pStyle w:val="ae"/>
    </w:pPr>
    <w:r>
      <w:rPr>
        <w:rFonts w:hint="eastAsia"/>
      </w:rPr>
      <w:t>(</w:t>
    </w:r>
    <w:r>
      <w:rPr>
        <w:rFonts w:hint="eastAsia"/>
      </w:rPr>
      <w:t>請於此頁編輯市場調查內容</w:t>
    </w:r>
    <w:r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81757"/>
    <w:multiLevelType w:val="hybridMultilevel"/>
    <w:tmpl w:val="64FCAB12"/>
    <w:lvl w:ilvl="0" w:tplc="E5C664C6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FC826BE"/>
    <w:multiLevelType w:val="hybridMultilevel"/>
    <w:tmpl w:val="E81ADC5E"/>
    <w:lvl w:ilvl="0" w:tplc="F69EBB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19B6F31"/>
    <w:multiLevelType w:val="hybridMultilevel"/>
    <w:tmpl w:val="FFDEA2A2"/>
    <w:lvl w:ilvl="0" w:tplc="04090001">
      <w:start w:val="1"/>
      <w:numFmt w:val="bullet"/>
      <w:lvlText w:val=""/>
      <w:lvlJc w:val="left"/>
      <w:pPr>
        <w:ind w:left="13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3" w15:restartNumberingAfterBreak="0">
    <w:nsid w:val="25CE183B"/>
    <w:multiLevelType w:val="hybridMultilevel"/>
    <w:tmpl w:val="720C9F70"/>
    <w:lvl w:ilvl="0" w:tplc="31A043E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4C186CBF"/>
    <w:multiLevelType w:val="hybridMultilevel"/>
    <w:tmpl w:val="4A807296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55E57A76"/>
    <w:multiLevelType w:val="hybridMultilevel"/>
    <w:tmpl w:val="A0100DEA"/>
    <w:lvl w:ilvl="0" w:tplc="3912FA7A">
      <w:start w:val="1"/>
      <w:numFmt w:val="taiwaneseCountingThousand"/>
      <w:lvlText w:val="%1、"/>
      <w:lvlJc w:val="left"/>
      <w:pPr>
        <w:ind w:left="1340" w:hanging="5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 w15:restartNumberingAfterBreak="0">
    <w:nsid w:val="5DBC448C"/>
    <w:multiLevelType w:val="hybridMultilevel"/>
    <w:tmpl w:val="ACE0C1EE"/>
    <w:lvl w:ilvl="0" w:tplc="CB2617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DF00684"/>
    <w:multiLevelType w:val="hybridMultilevel"/>
    <w:tmpl w:val="28BAD044"/>
    <w:lvl w:ilvl="0" w:tplc="0409000D">
      <w:start w:val="1"/>
      <w:numFmt w:val="bullet"/>
      <w:lvlText w:val=""/>
      <w:lvlJc w:val="left"/>
      <w:pPr>
        <w:ind w:left="13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8" w15:restartNumberingAfterBreak="0">
    <w:nsid w:val="69650F39"/>
    <w:multiLevelType w:val="hybridMultilevel"/>
    <w:tmpl w:val="5B34379A"/>
    <w:lvl w:ilvl="0" w:tplc="04090015">
      <w:start w:val="1"/>
      <w:numFmt w:val="taiwaneseCountingThousand"/>
      <w:lvlText w:val="%1、"/>
      <w:lvlJc w:val="left"/>
      <w:pPr>
        <w:ind w:left="13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5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19D"/>
    <w:rsid w:val="000847C2"/>
    <w:rsid w:val="000E5577"/>
    <w:rsid w:val="000E562C"/>
    <w:rsid w:val="0011294E"/>
    <w:rsid w:val="00122F1A"/>
    <w:rsid w:val="00140A9B"/>
    <w:rsid w:val="00194F0B"/>
    <w:rsid w:val="001978F3"/>
    <w:rsid w:val="002311CE"/>
    <w:rsid w:val="002402DF"/>
    <w:rsid w:val="00261E41"/>
    <w:rsid w:val="0027241D"/>
    <w:rsid w:val="002A6AF4"/>
    <w:rsid w:val="002D067F"/>
    <w:rsid w:val="003550D1"/>
    <w:rsid w:val="0036319D"/>
    <w:rsid w:val="00496B21"/>
    <w:rsid w:val="004E3FC5"/>
    <w:rsid w:val="00505540"/>
    <w:rsid w:val="00555DFE"/>
    <w:rsid w:val="00563DB5"/>
    <w:rsid w:val="00625F5F"/>
    <w:rsid w:val="0065746A"/>
    <w:rsid w:val="00742BB8"/>
    <w:rsid w:val="00745031"/>
    <w:rsid w:val="00781FEE"/>
    <w:rsid w:val="00786D0B"/>
    <w:rsid w:val="007C732A"/>
    <w:rsid w:val="008239A8"/>
    <w:rsid w:val="008767EA"/>
    <w:rsid w:val="008A5EEA"/>
    <w:rsid w:val="008B463A"/>
    <w:rsid w:val="00932CDF"/>
    <w:rsid w:val="00945635"/>
    <w:rsid w:val="009469B0"/>
    <w:rsid w:val="009917D8"/>
    <w:rsid w:val="009E3A4E"/>
    <w:rsid w:val="00A338F3"/>
    <w:rsid w:val="00A77AD2"/>
    <w:rsid w:val="00A97185"/>
    <w:rsid w:val="00AF6398"/>
    <w:rsid w:val="00B04D60"/>
    <w:rsid w:val="00B21B9A"/>
    <w:rsid w:val="00B60F01"/>
    <w:rsid w:val="00B84EEF"/>
    <w:rsid w:val="00C0664F"/>
    <w:rsid w:val="00CF65F2"/>
    <w:rsid w:val="00E03540"/>
    <w:rsid w:val="00EC3888"/>
    <w:rsid w:val="00F20902"/>
    <w:rsid w:val="00F25AFF"/>
    <w:rsid w:val="00F8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5AB473"/>
  <w15:chartTrackingRefBased/>
  <w15:docId w15:val="{A4DE308A-725D-410F-A24C-D4889A45C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6319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3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319D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319D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31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319D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319D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319D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319D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6319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631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6319D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631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6319D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6319D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6319D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6319D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6319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6319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63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319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6319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63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6319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6319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6319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631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6319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6319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84E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B84EEF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B84E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B84EEF"/>
    <w:rPr>
      <w:sz w:val="20"/>
      <w:szCs w:val="20"/>
    </w:rPr>
  </w:style>
  <w:style w:type="table" w:styleId="af2">
    <w:name w:val="Table Grid"/>
    <w:basedOn w:val="a1"/>
    <w:uiPriority w:val="39"/>
    <w:rsid w:val="00657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770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javascript:__doPostBack('ctl00$PageContent$MyGridView1$ctl15$LinkButton_Country',''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__doPostBack('ctl00$PageContent$MyGridView1$ctl11$LinkButton_Country','')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B8D42-D639-40E4-B695-BAA0253B9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Ruby Wang</dc:creator>
  <cp:keywords/>
  <dc:description/>
  <cp:lastModifiedBy>陳姿夢</cp:lastModifiedBy>
  <cp:revision>3</cp:revision>
  <dcterms:created xsi:type="dcterms:W3CDTF">2024-11-04T05:41:00Z</dcterms:created>
  <dcterms:modified xsi:type="dcterms:W3CDTF">2024-11-04T14:29:00Z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108397cb8f811bd3c1b66f654a4e4e35d46ed9d9feee3058e65a546e26ef7de2</vt:lpwstr>
  </property>
</Properties>
</file>