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48EDF7" w14:textId="3C944E94" w:rsidR="002402DF" w:rsidRDefault="002402DF" w:rsidP="00140A9B">
      <w:pPr>
        <w:pStyle w:val="ae"/>
        <w:spacing w:after="0" w:line="240" w:lineRule="auto"/>
        <w:rPr>
          <w:rFonts w:ascii="Times New Roman" w:eastAsia="標楷體" w:hAnsi="Times New Roman" w:cs="Times New Roman"/>
          <w:sz w:val="32"/>
          <w:szCs w:val="32"/>
        </w:rPr>
      </w:pPr>
      <w:r w:rsidRPr="002402DF">
        <w:rPr>
          <w:rFonts w:ascii="Times New Roman" w:eastAsia="標楷體" w:hAnsi="Times New Roman" w:cs="Times New Roman" w:hint="eastAsia"/>
          <w:sz w:val="32"/>
          <w:szCs w:val="32"/>
        </w:rPr>
        <w:t>作業繳交注意事項</w:t>
      </w:r>
      <w:r w:rsidRPr="002402DF">
        <w:rPr>
          <w:rFonts w:ascii="Times New Roman" w:eastAsia="標楷體" w:hAnsi="Times New Roman" w:cs="Times New Roman" w:hint="eastAsia"/>
          <w:sz w:val="32"/>
          <w:szCs w:val="32"/>
        </w:rPr>
        <w:t xml:space="preserve"> (Notions)</w:t>
      </w:r>
      <w:r w:rsidRPr="002402DF">
        <w:rPr>
          <w:rFonts w:ascii="Times New Roman" w:eastAsia="標楷體" w:hAnsi="Times New Roman" w:cs="Times New Roman" w:hint="eastAsia"/>
          <w:sz w:val="32"/>
          <w:szCs w:val="32"/>
        </w:rPr>
        <w:t>：</w:t>
      </w:r>
    </w:p>
    <w:p w14:paraId="3C96C008" w14:textId="77777777" w:rsidR="00F20902" w:rsidRPr="002402DF" w:rsidRDefault="00F20902" w:rsidP="00F20902">
      <w:pPr>
        <w:pStyle w:val="ae"/>
        <w:spacing w:after="0" w:line="240" w:lineRule="auto"/>
        <w:ind w:left="480"/>
        <w:rPr>
          <w:rFonts w:ascii="Times New Roman" w:eastAsia="標楷體" w:hAnsi="Times New Roman" w:cs="Times New Roman"/>
          <w:sz w:val="32"/>
          <w:szCs w:val="32"/>
        </w:rPr>
      </w:pPr>
    </w:p>
    <w:p w14:paraId="4B68CCF1" w14:textId="0827B0C6" w:rsidR="002402DF" w:rsidRPr="002402DF" w:rsidRDefault="002402DF" w:rsidP="002402DF">
      <w:pPr>
        <w:pStyle w:val="ae"/>
        <w:numPr>
          <w:ilvl w:val="0"/>
          <w:numId w:val="2"/>
        </w:numPr>
        <w:spacing w:after="0" w:line="240" w:lineRule="auto"/>
        <w:rPr>
          <w:rFonts w:ascii="Times New Roman" w:eastAsia="標楷體" w:hAnsi="Times New Roman" w:cs="Times New Roman"/>
          <w:sz w:val="32"/>
          <w:szCs w:val="32"/>
        </w:rPr>
      </w:pPr>
      <w:r w:rsidRPr="002402DF">
        <w:rPr>
          <w:rFonts w:ascii="Times New Roman" w:eastAsia="標楷體" w:hAnsi="Times New Roman" w:cs="Times New Roman"/>
          <w:sz w:val="32"/>
          <w:szCs w:val="32"/>
        </w:rPr>
        <w:t>第一部分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(Part I)</w:t>
      </w:r>
    </w:p>
    <w:p w14:paraId="72E64319" w14:textId="3DD1AA74" w:rsidR="002402DF" w:rsidRPr="00B04D60" w:rsidRDefault="002402DF" w:rsidP="002402DF">
      <w:pPr>
        <w:pStyle w:val="ae"/>
        <w:spacing w:after="0" w:line="240" w:lineRule="auto"/>
        <w:rPr>
          <w:sz w:val="24"/>
          <w:szCs w:val="24"/>
        </w:rPr>
      </w:pPr>
      <w:r w:rsidRPr="00B04D60">
        <w:rPr>
          <w:rFonts w:hint="eastAsia"/>
          <w:sz w:val="24"/>
          <w:szCs w:val="24"/>
        </w:rPr>
        <w:t>情境：</w:t>
      </w:r>
      <w:r w:rsidR="00D67283" w:rsidRPr="00D67283">
        <w:rPr>
          <w:rFonts w:hint="eastAsia"/>
          <w:b/>
          <w:bCs/>
          <w:color w:val="000000" w:themeColor="text1"/>
          <w:sz w:val="24"/>
          <w:szCs w:val="24"/>
        </w:rPr>
        <w:t>台灣</w:t>
      </w:r>
      <w:r w:rsidRPr="00D67283">
        <w:rPr>
          <w:rFonts w:hint="eastAsia"/>
          <w:color w:val="000000" w:themeColor="text1"/>
          <w:sz w:val="24"/>
          <w:szCs w:val="24"/>
        </w:rPr>
        <w:t>與</w:t>
      </w:r>
      <w:r w:rsidR="00D67283" w:rsidRPr="00D67283">
        <w:rPr>
          <w:rFonts w:hint="eastAsia"/>
          <w:b/>
          <w:bCs/>
          <w:color w:val="000000" w:themeColor="text1"/>
          <w:sz w:val="24"/>
          <w:szCs w:val="24"/>
        </w:rPr>
        <w:t>美國</w:t>
      </w:r>
      <w:r w:rsidRPr="00D67283">
        <w:rPr>
          <w:rFonts w:hint="eastAsia"/>
          <w:color w:val="000000" w:themeColor="text1"/>
          <w:sz w:val="24"/>
          <w:szCs w:val="24"/>
        </w:rPr>
        <w:t>貿易</w:t>
      </w:r>
      <w:r w:rsidR="00D67283" w:rsidRPr="00D67283">
        <w:rPr>
          <w:rFonts w:hint="eastAsia"/>
          <w:b/>
          <w:bCs/>
          <w:color w:val="000000" w:themeColor="text1"/>
          <w:sz w:val="24"/>
          <w:szCs w:val="24"/>
        </w:rPr>
        <w:t>芭樂</w:t>
      </w:r>
    </w:p>
    <w:p w14:paraId="06A9026F" w14:textId="79DF2B1A" w:rsidR="002402DF" w:rsidRDefault="002402DF" w:rsidP="002402DF">
      <w:pPr>
        <w:pStyle w:val="ae"/>
        <w:spacing w:after="0" w:line="240" w:lineRule="auto"/>
        <w:rPr>
          <w:sz w:val="24"/>
          <w:szCs w:val="24"/>
        </w:rPr>
      </w:pPr>
      <w:r w:rsidRPr="00B04D60">
        <w:rPr>
          <w:rFonts w:hint="eastAsia"/>
          <w:sz w:val="24"/>
          <w:szCs w:val="24"/>
        </w:rPr>
        <w:t>角色：『出口商（</w:t>
      </w:r>
      <w:r w:rsidR="00D67283" w:rsidRPr="00D67283">
        <w:rPr>
          <w:rFonts w:hint="eastAsia"/>
          <w:b/>
          <w:bCs/>
          <w:color w:val="000000" w:themeColor="text1"/>
          <w:sz w:val="24"/>
          <w:szCs w:val="24"/>
        </w:rPr>
        <w:t>台灣</w:t>
      </w:r>
      <w:r w:rsidRPr="00D67283">
        <w:rPr>
          <w:rFonts w:hint="eastAsia"/>
          <w:color w:val="000000" w:themeColor="text1"/>
          <w:sz w:val="24"/>
          <w:szCs w:val="24"/>
        </w:rPr>
        <w:t>出口</w:t>
      </w:r>
      <w:r w:rsidR="00D67283" w:rsidRPr="00D67283">
        <w:rPr>
          <w:rFonts w:hint="eastAsia"/>
          <w:b/>
          <w:bCs/>
          <w:color w:val="000000" w:themeColor="text1"/>
          <w:sz w:val="24"/>
          <w:szCs w:val="24"/>
        </w:rPr>
        <w:t>芭樂</w:t>
      </w:r>
      <w:r w:rsidRPr="00D67283">
        <w:rPr>
          <w:rFonts w:hint="eastAsia"/>
          <w:color w:val="000000" w:themeColor="text1"/>
          <w:sz w:val="24"/>
          <w:szCs w:val="24"/>
        </w:rPr>
        <w:t>給</w:t>
      </w:r>
      <w:r w:rsidR="00D67283" w:rsidRPr="00D67283">
        <w:rPr>
          <w:rFonts w:hint="eastAsia"/>
          <w:b/>
          <w:bCs/>
          <w:color w:val="000000" w:themeColor="text1"/>
          <w:sz w:val="24"/>
          <w:szCs w:val="24"/>
        </w:rPr>
        <w:t>美國</w:t>
      </w:r>
      <w:r w:rsidRPr="00D67283">
        <w:rPr>
          <w:rFonts w:hint="eastAsia"/>
          <w:color w:val="000000" w:themeColor="text1"/>
          <w:sz w:val="24"/>
          <w:szCs w:val="24"/>
        </w:rPr>
        <w:t>）</w:t>
      </w:r>
      <w:r w:rsidRPr="00B04D60">
        <w:rPr>
          <w:rFonts w:hint="eastAsia"/>
          <w:sz w:val="24"/>
          <w:szCs w:val="24"/>
        </w:rPr>
        <w:t>』</w:t>
      </w:r>
    </w:p>
    <w:p w14:paraId="1CF75F85" w14:textId="77777777" w:rsidR="001978F3" w:rsidRDefault="001978F3" w:rsidP="002402DF">
      <w:pPr>
        <w:pStyle w:val="ae"/>
        <w:spacing w:after="0" w:line="240" w:lineRule="auto"/>
        <w:rPr>
          <w:b/>
          <w:bCs/>
          <w:color w:val="215E99" w:themeColor="text2" w:themeTint="BF"/>
          <w:sz w:val="24"/>
          <w:szCs w:val="24"/>
        </w:rPr>
      </w:pPr>
    </w:p>
    <w:p w14:paraId="02BE378D" w14:textId="77777777" w:rsidR="001978F3" w:rsidRPr="001978F3" w:rsidRDefault="001978F3" w:rsidP="002402DF">
      <w:pPr>
        <w:pStyle w:val="ae"/>
        <w:spacing w:after="0" w:line="240" w:lineRule="auto"/>
        <w:rPr>
          <w:b/>
          <w:bCs/>
          <w:color w:val="215E99" w:themeColor="text2" w:themeTint="BF"/>
        </w:rPr>
      </w:pPr>
    </w:p>
    <w:p w14:paraId="1CCF029D" w14:textId="6B7D9BF4" w:rsidR="002402DF" w:rsidRPr="00B04D60" w:rsidRDefault="00EC3888" w:rsidP="002402DF">
      <w:pPr>
        <w:pStyle w:val="ae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 w:rsidR="00A77AD2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</w:t>
      </w:r>
      <w:proofErr w:type="gramStart"/>
      <w:r w:rsidR="002402DF" w:rsidRPr="00B04D60">
        <w:rPr>
          <w:rFonts w:hint="eastAsia"/>
          <w:sz w:val="24"/>
          <w:szCs w:val="24"/>
        </w:rPr>
        <w:t>同儕互評</w:t>
      </w:r>
      <w:proofErr w:type="gramEnd"/>
      <w:r w:rsidR="002402DF" w:rsidRPr="00B04D60">
        <w:rPr>
          <w:rFonts w:hint="eastAsia"/>
          <w:sz w:val="24"/>
          <w:szCs w:val="24"/>
        </w:rPr>
        <w:t>：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263"/>
        <w:gridCol w:w="2048"/>
        <w:gridCol w:w="2048"/>
        <w:gridCol w:w="2048"/>
        <w:gridCol w:w="2049"/>
      </w:tblGrid>
      <w:tr w:rsidR="002402DF" w:rsidRPr="00B04D60" w14:paraId="2C1F083B" w14:textId="77777777" w:rsidTr="00EC2036">
        <w:tc>
          <w:tcPr>
            <w:tcW w:w="2263" w:type="dxa"/>
          </w:tcPr>
          <w:p w14:paraId="4CA413E8" w14:textId="77777777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48" w:type="dxa"/>
          </w:tcPr>
          <w:p w14:paraId="4D9C8113" w14:textId="77777777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</w:t>
            </w:r>
            <w:r w:rsidRPr="00B04D60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048" w:type="dxa"/>
          </w:tcPr>
          <w:p w14:paraId="08108EEC" w14:textId="77777777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</w:t>
            </w:r>
            <w:r w:rsidRPr="00B04D60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48" w:type="dxa"/>
          </w:tcPr>
          <w:p w14:paraId="7E479F1D" w14:textId="77777777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</w:t>
            </w:r>
            <w:r w:rsidRPr="00B04D60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49" w:type="dxa"/>
          </w:tcPr>
          <w:p w14:paraId="1CB02242" w14:textId="77777777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</w:t>
            </w:r>
            <w:r w:rsidRPr="00B04D60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2402DF" w:rsidRPr="00B04D60" w14:paraId="2DAB717C" w14:textId="77777777" w:rsidTr="00EC2036">
        <w:tc>
          <w:tcPr>
            <w:tcW w:w="2263" w:type="dxa"/>
          </w:tcPr>
          <w:p w14:paraId="3D8B997F" w14:textId="77777777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組員學號姓名</w:t>
            </w:r>
          </w:p>
        </w:tc>
        <w:tc>
          <w:tcPr>
            <w:tcW w:w="2048" w:type="dxa"/>
          </w:tcPr>
          <w:p w14:paraId="2F8C83B7" w14:textId="54562531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學號：</w:t>
            </w:r>
            <w:r w:rsidR="00D67283">
              <w:rPr>
                <w:rFonts w:hint="eastAsia"/>
                <w:sz w:val="24"/>
                <w:szCs w:val="24"/>
              </w:rPr>
              <w:t>B11050004</w:t>
            </w:r>
          </w:p>
          <w:p w14:paraId="3CA5D082" w14:textId="2FB87886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姓名：</w:t>
            </w:r>
            <w:r w:rsidR="00D67283">
              <w:rPr>
                <w:rFonts w:hint="eastAsia"/>
                <w:sz w:val="24"/>
                <w:szCs w:val="24"/>
              </w:rPr>
              <w:t>陳靜</w:t>
            </w:r>
          </w:p>
        </w:tc>
        <w:tc>
          <w:tcPr>
            <w:tcW w:w="2048" w:type="dxa"/>
          </w:tcPr>
          <w:p w14:paraId="403CDA93" w14:textId="789CCE95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學號：</w:t>
            </w:r>
            <w:r w:rsidR="00D67283">
              <w:rPr>
                <w:rFonts w:hint="eastAsia"/>
                <w:sz w:val="24"/>
                <w:szCs w:val="24"/>
              </w:rPr>
              <w:t>B11050033</w:t>
            </w:r>
          </w:p>
          <w:p w14:paraId="799A20F3" w14:textId="700A105F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姓名：</w:t>
            </w:r>
            <w:r w:rsidR="00D67283">
              <w:rPr>
                <w:rFonts w:hint="eastAsia"/>
                <w:sz w:val="24"/>
                <w:szCs w:val="24"/>
              </w:rPr>
              <w:t>黃永錡</w:t>
            </w:r>
          </w:p>
        </w:tc>
        <w:tc>
          <w:tcPr>
            <w:tcW w:w="2048" w:type="dxa"/>
          </w:tcPr>
          <w:p w14:paraId="28EF0B88" w14:textId="6E524380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學號：</w:t>
            </w:r>
            <w:r w:rsidR="00D67283">
              <w:rPr>
                <w:rFonts w:hint="eastAsia"/>
                <w:sz w:val="24"/>
                <w:szCs w:val="24"/>
              </w:rPr>
              <w:t>B11050036</w:t>
            </w:r>
          </w:p>
          <w:p w14:paraId="759A209E" w14:textId="60B2A93F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姓名：</w:t>
            </w:r>
            <w:r w:rsidR="00D67283">
              <w:rPr>
                <w:rFonts w:hint="eastAsia"/>
                <w:sz w:val="24"/>
                <w:szCs w:val="24"/>
              </w:rPr>
              <w:t>黃信維</w:t>
            </w:r>
          </w:p>
        </w:tc>
        <w:tc>
          <w:tcPr>
            <w:tcW w:w="2049" w:type="dxa"/>
          </w:tcPr>
          <w:p w14:paraId="34E240CA" w14:textId="2398AC3B" w:rsidR="002402DF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學號：</w:t>
            </w:r>
            <w:r w:rsidR="00D67283">
              <w:rPr>
                <w:rFonts w:hint="eastAsia"/>
                <w:sz w:val="24"/>
                <w:szCs w:val="24"/>
              </w:rPr>
              <w:t>B11050042</w:t>
            </w:r>
          </w:p>
          <w:p w14:paraId="66DC54BB" w14:textId="77B07517" w:rsidR="00D67283" w:rsidRPr="00B04D60" w:rsidRDefault="002402DF" w:rsidP="00EC2036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姓名：</w:t>
            </w:r>
            <w:r w:rsidR="00D67283">
              <w:rPr>
                <w:rFonts w:hint="eastAsia"/>
                <w:sz w:val="24"/>
                <w:szCs w:val="24"/>
              </w:rPr>
              <w:t>吳逸宸</w:t>
            </w:r>
          </w:p>
        </w:tc>
      </w:tr>
      <w:tr w:rsidR="00F2446E" w:rsidRPr="00B04D60" w14:paraId="7C541138" w14:textId="77777777" w:rsidTr="00EC2036">
        <w:tc>
          <w:tcPr>
            <w:tcW w:w="2263" w:type="dxa"/>
          </w:tcPr>
          <w:p w14:paraId="252D7CF0" w14:textId="37F4A767" w:rsidR="00F2446E" w:rsidRPr="00B04D60" w:rsidRDefault="00F2446E" w:rsidP="00F2446E">
            <w:pPr>
              <w:pStyle w:val="ae"/>
              <w:rPr>
                <w:sz w:val="24"/>
                <w:szCs w:val="24"/>
              </w:rPr>
            </w:pPr>
            <w:r w:rsidRPr="00B04D60">
              <w:rPr>
                <w:rFonts w:hint="eastAsia"/>
                <w:sz w:val="24"/>
                <w:szCs w:val="24"/>
              </w:rPr>
              <w:t>貢獻比例</w:t>
            </w:r>
            <w:r>
              <w:rPr>
                <w:sz w:val="24"/>
                <w:szCs w:val="24"/>
              </w:rPr>
              <w:br/>
            </w:r>
            <w:r w:rsidRPr="00B04D60">
              <w:rPr>
                <w:rFonts w:hint="eastAsia"/>
                <w:sz w:val="24"/>
                <w:szCs w:val="24"/>
              </w:rPr>
              <w:t>（</w:t>
            </w:r>
            <w:r w:rsidRPr="00B04D60">
              <w:rPr>
                <w:rFonts w:hint="eastAsia"/>
                <w:sz w:val="24"/>
                <w:szCs w:val="24"/>
              </w:rPr>
              <w:t>0%-100%</w:t>
            </w:r>
            <w:r w:rsidRPr="00B04D60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048" w:type="dxa"/>
          </w:tcPr>
          <w:p w14:paraId="5D1EC353" w14:textId="575FF0A2" w:rsidR="00F2446E" w:rsidRPr="00B04D60" w:rsidRDefault="00F2446E" w:rsidP="00F2446E">
            <w:pPr>
              <w:pStyle w:val="a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100%</w:t>
            </w:r>
          </w:p>
        </w:tc>
        <w:tc>
          <w:tcPr>
            <w:tcW w:w="2048" w:type="dxa"/>
          </w:tcPr>
          <w:p w14:paraId="00383394" w14:textId="7BEDAF68" w:rsidR="00F2446E" w:rsidRPr="00B04D60" w:rsidRDefault="00F2446E" w:rsidP="00F2446E">
            <w:pPr>
              <w:pStyle w:val="a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100%</w:t>
            </w:r>
          </w:p>
        </w:tc>
        <w:tc>
          <w:tcPr>
            <w:tcW w:w="2048" w:type="dxa"/>
          </w:tcPr>
          <w:p w14:paraId="41E88446" w14:textId="77777777" w:rsidR="00F2446E" w:rsidRDefault="00F2446E" w:rsidP="00F2446E">
            <w:pPr>
              <w:pStyle w:val="a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100%</w:t>
            </w:r>
          </w:p>
          <w:p w14:paraId="071F61E0" w14:textId="63CEFAE8" w:rsidR="00F2446E" w:rsidRPr="00B04D60" w:rsidRDefault="00F2446E" w:rsidP="00F2446E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49" w:type="dxa"/>
          </w:tcPr>
          <w:p w14:paraId="59FA8F30" w14:textId="33ADB828" w:rsidR="00F2446E" w:rsidRPr="00B04D60" w:rsidRDefault="00F2446E" w:rsidP="00F2446E">
            <w:pPr>
              <w:pStyle w:val="a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100%</w:t>
            </w:r>
          </w:p>
        </w:tc>
      </w:tr>
    </w:tbl>
    <w:p w14:paraId="1244C27F" w14:textId="77777777" w:rsidR="002402DF" w:rsidRDefault="002402DF"/>
    <w:p w14:paraId="237069D4" w14:textId="6377FDBD" w:rsidR="00F20902" w:rsidRPr="00F20902" w:rsidRDefault="00F20902" w:rsidP="00F20902">
      <w:pPr>
        <w:pStyle w:val="ae"/>
        <w:numPr>
          <w:ilvl w:val="0"/>
          <w:numId w:val="2"/>
        </w:numPr>
        <w:spacing w:after="0" w:line="240" w:lineRule="auto"/>
        <w:rPr>
          <w:rFonts w:ascii="Times New Roman" w:eastAsia="標楷體" w:hAnsi="Times New Roman" w:cs="Times New Roman"/>
          <w:sz w:val="32"/>
          <w:szCs w:val="32"/>
        </w:rPr>
      </w:pPr>
      <w:r w:rsidRPr="00F20902">
        <w:rPr>
          <w:rFonts w:ascii="Times New Roman" w:eastAsia="標楷體" w:hAnsi="Times New Roman" w:cs="Times New Roman" w:hint="eastAsia"/>
          <w:sz w:val="32"/>
          <w:szCs w:val="32"/>
        </w:rPr>
        <w:t>執行</w:t>
      </w:r>
      <w:r w:rsidR="00140A9B">
        <w:rPr>
          <w:rFonts w:ascii="Times New Roman" w:eastAsia="標楷體" w:hAnsi="Times New Roman" w:cs="Times New Roman" w:hint="eastAsia"/>
          <w:sz w:val="32"/>
          <w:szCs w:val="32"/>
        </w:rPr>
        <w:t>事項</w:t>
      </w:r>
      <w:r w:rsidRPr="00F20902">
        <w:rPr>
          <w:rFonts w:ascii="Times New Roman" w:eastAsia="標楷體" w:hAnsi="Times New Roman" w:cs="Times New Roman" w:hint="eastAsia"/>
          <w:sz w:val="32"/>
          <w:szCs w:val="32"/>
        </w:rPr>
        <w:t xml:space="preserve"> (To do list)</w:t>
      </w:r>
    </w:p>
    <w:p w14:paraId="13205A6E" w14:textId="7F2E02CC" w:rsidR="00B04D60" w:rsidRDefault="002402DF" w:rsidP="00B04D60">
      <w:pPr>
        <w:pStyle w:val="ae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B04D60">
        <w:rPr>
          <w:rFonts w:hint="eastAsia"/>
          <w:sz w:val="24"/>
          <w:szCs w:val="24"/>
        </w:rPr>
        <w:t>請</w:t>
      </w:r>
      <w:r w:rsidR="000847C2">
        <w:rPr>
          <w:rFonts w:hint="eastAsia"/>
          <w:sz w:val="24"/>
          <w:szCs w:val="24"/>
        </w:rPr>
        <w:t>每位同學</w:t>
      </w:r>
      <w:r w:rsidRPr="00B04D60">
        <w:rPr>
          <w:rFonts w:hint="eastAsia"/>
          <w:sz w:val="24"/>
          <w:szCs w:val="24"/>
        </w:rPr>
        <w:t>填妥第一</w:t>
      </w:r>
      <w:r w:rsidR="00B04D60">
        <w:rPr>
          <w:rFonts w:hint="eastAsia"/>
          <w:sz w:val="24"/>
          <w:szCs w:val="24"/>
        </w:rPr>
        <w:t>部分</w:t>
      </w:r>
      <w:r w:rsidR="00B04D60">
        <w:rPr>
          <w:rFonts w:hint="eastAsia"/>
          <w:sz w:val="24"/>
          <w:szCs w:val="24"/>
        </w:rPr>
        <w:t>(Part I)</w:t>
      </w:r>
      <w:r w:rsidR="000847C2">
        <w:rPr>
          <w:rFonts w:hint="eastAsia"/>
          <w:sz w:val="24"/>
          <w:szCs w:val="24"/>
        </w:rPr>
        <w:t>，並每位同學皆上傳報告，擔任同樣角色的同學可上傳一樣的市場調查報告內容。</w:t>
      </w:r>
    </w:p>
    <w:p w14:paraId="080F8BDB" w14:textId="30E934C0" w:rsidR="000847C2" w:rsidRDefault="000847C2" w:rsidP="00B04D60">
      <w:pPr>
        <w:pStyle w:val="ae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市場調查報告請於</w:t>
      </w:r>
      <w:r w:rsidR="008767EA">
        <w:rPr>
          <w:rFonts w:hint="eastAsia"/>
          <w:sz w:val="24"/>
          <w:szCs w:val="24"/>
        </w:rPr>
        <w:t>第</w:t>
      </w:r>
      <w:r w:rsidR="008767EA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頁開始編輯，格式不拘，僅所有內容需要含</w:t>
      </w:r>
      <w:proofErr w:type="gramStart"/>
      <w:r>
        <w:rPr>
          <w:rFonts w:hint="eastAsia"/>
          <w:sz w:val="24"/>
          <w:szCs w:val="24"/>
        </w:rPr>
        <w:t>括</w:t>
      </w:r>
      <w:proofErr w:type="gramEnd"/>
      <w:r>
        <w:rPr>
          <w:rFonts w:hint="eastAsia"/>
          <w:sz w:val="24"/>
          <w:szCs w:val="24"/>
        </w:rPr>
        <w:t>於一頁</w:t>
      </w:r>
      <w:r>
        <w:rPr>
          <w:rFonts w:hint="eastAsia"/>
          <w:sz w:val="24"/>
          <w:szCs w:val="24"/>
        </w:rPr>
        <w:t>A4</w:t>
      </w:r>
      <w:r>
        <w:rPr>
          <w:rFonts w:hint="eastAsia"/>
          <w:sz w:val="24"/>
          <w:szCs w:val="24"/>
        </w:rPr>
        <w:t>版面內。</w:t>
      </w:r>
    </w:p>
    <w:p w14:paraId="032FAEAD" w14:textId="490BA421" w:rsidR="000847C2" w:rsidRDefault="000847C2" w:rsidP="00B04D60">
      <w:pPr>
        <w:pStyle w:val="ae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市場調查報告至少須包含</w:t>
      </w:r>
      <w:r w:rsidR="00945635">
        <w:rPr>
          <w:rFonts w:hint="eastAsia"/>
          <w:sz w:val="24"/>
          <w:szCs w:val="24"/>
        </w:rPr>
        <w:t>以下內容，</w:t>
      </w:r>
      <w:r w:rsidR="002A6AF4">
        <w:rPr>
          <w:rFonts w:hint="eastAsia"/>
          <w:sz w:val="24"/>
          <w:szCs w:val="24"/>
        </w:rPr>
        <w:t>以數據或圖文佐證敘述</w:t>
      </w:r>
      <w:r w:rsidR="0011294E">
        <w:rPr>
          <w:rFonts w:hint="eastAsia"/>
          <w:sz w:val="24"/>
          <w:szCs w:val="24"/>
        </w:rPr>
        <w:t>，能夠邏輯清楚且明確的說明理由、優劣勢分析，或解決方法</w:t>
      </w:r>
      <w:r w:rsidR="002A6AF4">
        <w:rPr>
          <w:rFonts w:hint="eastAsia"/>
          <w:sz w:val="24"/>
          <w:szCs w:val="24"/>
        </w:rPr>
        <w:t>尤佳。若尚於頁面可自行美編或補充其他市場調查相關內容作為加分項目。</w:t>
      </w:r>
    </w:p>
    <w:p w14:paraId="1ECFF2BF" w14:textId="7C95BF98" w:rsidR="00945635" w:rsidRDefault="002A6AF4" w:rsidP="00945635">
      <w:pPr>
        <w:pStyle w:val="ae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 w:rsidR="00261E41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出口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>
        <w:rPr>
          <w:rFonts w:hint="eastAsia"/>
          <w:sz w:val="24"/>
          <w:szCs w:val="24"/>
        </w:rPr>
        <w:t>至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A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 xml:space="preserve"> or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從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B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>
        <w:rPr>
          <w:rFonts w:hint="eastAsia"/>
          <w:sz w:val="24"/>
          <w:szCs w:val="24"/>
        </w:rPr>
        <w:t>進口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>的理由。</w:t>
      </w:r>
    </w:p>
    <w:p w14:paraId="4475F657" w14:textId="51CF0B98" w:rsidR="00745031" w:rsidRDefault="002A6AF4" w:rsidP="00745031">
      <w:pPr>
        <w:pStyle w:val="ae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(20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出口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>
        <w:rPr>
          <w:rFonts w:hint="eastAsia"/>
          <w:sz w:val="24"/>
          <w:szCs w:val="24"/>
        </w:rPr>
        <w:t>至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A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 xml:space="preserve"> or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從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B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>
        <w:rPr>
          <w:rFonts w:hint="eastAsia"/>
          <w:sz w:val="24"/>
          <w:szCs w:val="24"/>
        </w:rPr>
        <w:t>進口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>的利基。</w:t>
      </w:r>
    </w:p>
    <w:p w14:paraId="49B3820B" w14:textId="0EFC9D37" w:rsidR="00745031" w:rsidRDefault="002A6AF4" w:rsidP="00745031">
      <w:pPr>
        <w:pStyle w:val="ae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(20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出口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>
        <w:rPr>
          <w:rFonts w:hint="eastAsia"/>
          <w:sz w:val="24"/>
          <w:szCs w:val="24"/>
        </w:rPr>
        <w:t>至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A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 xml:space="preserve"> or </w:t>
      </w:r>
      <w:r w:rsidR="00745031" w:rsidRPr="00B04D60">
        <w:rPr>
          <w:rFonts w:hint="eastAsia"/>
          <w:sz w:val="24"/>
          <w:szCs w:val="24"/>
        </w:rPr>
        <w:t>『</w:t>
      </w:r>
      <w:r w:rsidR="00745031">
        <w:rPr>
          <w:rFonts w:hint="eastAsia"/>
          <w:sz w:val="24"/>
          <w:szCs w:val="24"/>
        </w:rPr>
        <w:t>從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B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國</w:t>
      </w:r>
      <w:r w:rsidR="00745031">
        <w:rPr>
          <w:rFonts w:hint="eastAsia"/>
          <w:sz w:val="24"/>
          <w:szCs w:val="24"/>
        </w:rPr>
        <w:t>進口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C</w:t>
      </w:r>
      <w:r w:rsidR="00745031" w:rsidRPr="00B60F01">
        <w:rPr>
          <w:rFonts w:hint="eastAsia"/>
          <w:b/>
          <w:bCs/>
          <w:color w:val="215E99" w:themeColor="text2" w:themeTint="BF"/>
          <w:sz w:val="24"/>
          <w:szCs w:val="24"/>
        </w:rPr>
        <w:t>產品</w:t>
      </w:r>
      <w:r w:rsidR="00745031" w:rsidRPr="00B04D60">
        <w:rPr>
          <w:rFonts w:hint="eastAsia"/>
          <w:sz w:val="24"/>
          <w:szCs w:val="24"/>
        </w:rPr>
        <w:t>』</w:t>
      </w:r>
      <w:r w:rsidR="00745031">
        <w:rPr>
          <w:rFonts w:hint="eastAsia"/>
          <w:sz w:val="24"/>
          <w:szCs w:val="24"/>
        </w:rPr>
        <w:t>的困難或挑戰。</w:t>
      </w:r>
    </w:p>
    <w:p w14:paraId="0895BEDC" w14:textId="0C27F60A" w:rsidR="00F85CB5" w:rsidRDefault="002A6AF4" w:rsidP="00F85CB5">
      <w:pPr>
        <w:pStyle w:val="ae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(20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)  </w:t>
      </w:r>
      <w:bookmarkStart w:id="0" w:name="_Hlk181569047"/>
      <w:r w:rsidR="00F85CB5">
        <w:rPr>
          <w:rFonts w:hint="eastAsia"/>
          <w:sz w:val="24"/>
          <w:szCs w:val="24"/>
        </w:rPr>
        <w:t>面對困難和挑戰相應之解決方法。</w:t>
      </w:r>
      <w:bookmarkEnd w:id="0"/>
    </w:p>
    <w:p w14:paraId="4B933E80" w14:textId="63213CA3" w:rsidR="00122F1A" w:rsidRDefault="008239A8" w:rsidP="00555DFE">
      <w:pPr>
        <w:pStyle w:val="ae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加分項目</w:t>
      </w:r>
      <w:r>
        <w:rPr>
          <w:rFonts w:hint="eastAsia"/>
          <w:sz w:val="24"/>
          <w:szCs w:val="24"/>
        </w:rPr>
        <w:t xml:space="preserve"> </w:t>
      </w:r>
      <w:r w:rsidR="00122F1A">
        <w:rPr>
          <w:rFonts w:hint="eastAsia"/>
          <w:sz w:val="24"/>
          <w:szCs w:val="24"/>
        </w:rPr>
        <w:t>(</w:t>
      </w:r>
      <w:r w:rsidR="00A77AD2">
        <w:rPr>
          <w:rFonts w:hint="eastAsia"/>
          <w:sz w:val="24"/>
          <w:szCs w:val="24"/>
        </w:rPr>
        <w:t>2</w:t>
      </w:r>
      <w:r w:rsidR="00122F1A">
        <w:rPr>
          <w:rFonts w:hint="eastAsia"/>
          <w:sz w:val="24"/>
          <w:szCs w:val="24"/>
        </w:rPr>
        <w:t>0</w:t>
      </w:r>
      <w:r w:rsidR="00122F1A">
        <w:rPr>
          <w:rFonts w:hint="eastAsia"/>
          <w:sz w:val="24"/>
          <w:szCs w:val="24"/>
        </w:rPr>
        <w:t>分</w:t>
      </w:r>
      <w:r w:rsidR="00122F1A"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：包含</w:t>
      </w:r>
      <w:proofErr w:type="gramStart"/>
      <w:r w:rsidR="00122F1A">
        <w:rPr>
          <w:rFonts w:hint="eastAsia"/>
          <w:sz w:val="24"/>
          <w:szCs w:val="24"/>
        </w:rPr>
        <w:t>頁面美編</w:t>
      </w:r>
      <w:proofErr w:type="gramEnd"/>
      <w:r w:rsidR="00122F1A">
        <w:rPr>
          <w:rFonts w:hint="eastAsia"/>
          <w:sz w:val="24"/>
          <w:szCs w:val="24"/>
        </w:rPr>
        <w:t>或其他市場調查相關內容</w:t>
      </w:r>
      <w:r w:rsidR="000E562C">
        <w:rPr>
          <w:rFonts w:hint="eastAsia"/>
          <w:sz w:val="24"/>
          <w:szCs w:val="24"/>
        </w:rPr>
        <w:t>補充</w:t>
      </w:r>
      <w:r w:rsidR="0011294E">
        <w:rPr>
          <w:rFonts w:hint="eastAsia"/>
          <w:sz w:val="24"/>
          <w:szCs w:val="24"/>
        </w:rPr>
        <w:t>、預計</w:t>
      </w:r>
      <w:proofErr w:type="gramStart"/>
      <w:r w:rsidR="0011294E">
        <w:rPr>
          <w:rFonts w:hint="eastAsia"/>
          <w:sz w:val="24"/>
          <w:szCs w:val="24"/>
        </w:rPr>
        <w:t>採</w:t>
      </w:r>
      <w:proofErr w:type="gramEnd"/>
      <w:r w:rsidR="0011294E">
        <w:rPr>
          <w:rFonts w:hint="eastAsia"/>
          <w:sz w:val="24"/>
          <w:szCs w:val="24"/>
        </w:rPr>
        <w:t>行之貿易條件</w:t>
      </w:r>
      <w:r w:rsidR="00122F1A">
        <w:rPr>
          <w:rFonts w:hint="eastAsia"/>
          <w:sz w:val="24"/>
          <w:szCs w:val="24"/>
        </w:rPr>
        <w:t>等</w:t>
      </w:r>
      <w:r w:rsidR="0011294E">
        <w:rPr>
          <w:rFonts w:hint="eastAsia"/>
          <w:sz w:val="24"/>
          <w:szCs w:val="24"/>
        </w:rPr>
        <w:t>細節</w:t>
      </w:r>
      <w:r w:rsidR="00122F1A">
        <w:rPr>
          <w:rFonts w:hint="eastAsia"/>
          <w:sz w:val="24"/>
          <w:szCs w:val="24"/>
        </w:rPr>
        <w:t>。</w:t>
      </w:r>
    </w:p>
    <w:p w14:paraId="1DC39D27" w14:textId="77777777" w:rsidR="00745031" w:rsidRPr="00122F1A" w:rsidRDefault="00745031" w:rsidP="00122F1A">
      <w:pPr>
        <w:pStyle w:val="ae"/>
        <w:spacing w:after="0" w:line="240" w:lineRule="auto"/>
        <w:ind w:left="1320"/>
        <w:rPr>
          <w:sz w:val="24"/>
          <w:szCs w:val="24"/>
        </w:rPr>
      </w:pPr>
    </w:p>
    <w:p w14:paraId="471C373A" w14:textId="77777777" w:rsidR="008767EA" w:rsidRDefault="008767EA" w:rsidP="000847C2">
      <w:pPr>
        <w:pStyle w:val="ae"/>
        <w:spacing w:after="0" w:line="240" w:lineRule="auto"/>
        <w:ind w:left="840"/>
        <w:rPr>
          <w:sz w:val="24"/>
          <w:szCs w:val="24"/>
        </w:rPr>
        <w:sectPr w:rsidR="008767EA" w:rsidSect="00F25AFF">
          <w:footerReference w:type="default" r:id="rId7"/>
          <w:pgSz w:w="11906" w:h="16838"/>
          <w:pgMar w:top="720" w:right="720" w:bottom="720" w:left="720" w:header="851" w:footer="379" w:gutter="0"/>
          <w:cols w:space="425"/>
          <w:docGrid w:type="lines" w:linePitch="360"/>
        </w:sectPr>
      </w:pPr>
    </w:p>
    <w:p w14:paraId="4ED558CA" w14:textId="1EE2D1C9" w:rsidR="00D67283" w:rsidRDefault="00D67283" w:rsidP="00D67283">
      <w:pPr>
        <w:pStyle w:val="ae"/>
        <w:numPr>
          <w:ilvl w:val="0"/>
          <w:numId w:val="7"/>
        </w:numPr>
        <w:spacing w:after="0"/>
        <w:rPr>
          <w:rFonts w:ascii="標楷體" w:eastAsia="標楷體" w:hAnsi="標楷體"/>
          <w:sz w:val="24"/>
          <w:szCs w:val="24"/>
        </w:rPr>
      </w:pPr>
      <w:r>
        <w:rPr>
          <w:rFonts w:ascii="標楷體" w:eastAsia="標楷體" w:hAnsi="標楷體" w:hint="eastAsia"/>
          <w:sz w:val="24"/>
          <w:szCs w:val="24"/>
        </w:rPr>
        <w:lastRenderedPageBreak/>
        <w:t>台灣出口芭樂至美國的理由</w:t>
      </w:r>
    </w:p>
    <w:p w14:paraId="7135B642" w14:textId="3FF120EB" w:rsidR="00D67283" w:rsidRPr="00D67283" w:rsidRDefault="00D67283" w:rsidP="00D67283">
      <w:pPr>
        <w:pStyle w:val="ae"/>
        <w:numPr>
          <w:ilvl w:val="0"/>
          <w:numId w:val="8"/>
        </w:numPr>
        <w:spacing w:after="0"/>
        <w:rPr>
          <w:rFonts w:ascii="標楷體" w:eastAsia="標楷體" w:hAnsi="標楷體"/>
          <w:sz w:val="24"/>
          <w:szCs w:val="24"/>
        </w:rPr>
      </w:pPr>
      <w:r w:rsidRPr="00D67283">
        <w:rPr>
          <w:rFonts w:ascii="標楷體" w:eastAsia="標楷體" w:hAnsi="標楷體"/>
          <w:b/>
          <w:bCs/>
          <w:sz w:val="24"/>
          <w:szCs w:val="24"/>
        </w:rPr>
        <w:t>獨特的風味和品種</w:t>
      </w:r>
      <w:r w:rsidRPr="00D67283">
        <w:rPr>
          <w:rFonts w:ascii="標楷體" w:eastAsia="標楷體" w:hAnsi="標楷體"/>
          <w:sz w:val="24"/>
          <w:szCs w:val="24"/>
        </w:rPr>
        <w:t>：台灣的芭樂品種豐富，特別是如珍珠芭樂等品種，</w:t>
      </w:r>
      <w:proofErr w:type="gramStart"/>
      <w:r w:rsidRPr="00D67283">
        <w:rPr>
          <w:rFonts w:ascii="標楷體" w:eastAsia="標楷體" w:hAnsi="標楷體"/>
          <w:sz w:val="24"/>
          <w:szCs w:val="24"/>
        </w:rPr>
        <w:t>果肉脆甜且</w:t>
      </w:r>
      <w:proofErr w:type="gramEnd"/>
      <w:r w:rsidRPr="00D67283">
        <w:rPr>
          <w:rFonts w:ascii="標楷體" w:eastAsia="標楷體" w:hAnsi="標楷體"/>
          <w:sz w:val="24"/>
          <w:szCs w:val="24"/>
        </w:rPr>
        <w:t>口感獨特，能為美國消費者提供新鮮、異國風味的水果選擇。</w:t>
      </w:r>
    </w:p>
    <w:p w14:paraId="349DE9D4" w14:textId="2088B269" w:rsidR="00D67283" w:rsidRPr="00D67283" w:rsidRDefault="00D67283" w:rsidP="00D67283">
      <w:pPr>
        <w:pStyle w:val="ae"/>
        <w:numPr>
          <w:ilvl w:val="0"/>
          <w:numId w:val="8"/>
        </w:numPr>
        <w:spacing w:after="0"/>
        <w:rPr>
          <w:rFonts w:ascii="標楷體" w:eastAsia="標楷體" w:hAnsi="標楷體"/>
          <w:sz w:val="24"/>
          <w:szCs w:val="24"/>
        </w:rPr>
      </w:pPr>
      <w:r w:rsidRPr="00D67283">
        <w:rPr>
          <w:rFonts w:ascii="標楷體" w:eastAsia="標楷體" w:hAnsi="標楷體"/>
          <w:b/>
          <w:bCs/>
          <w:sz w:val="24"/>
          <w:szCs w:val="24"/>
        </w:rPr>
        <w:t>季節反差優勢</w:t>
      </w:r>
      <w:r w:rsidRPr="00D67283">
        <w:rPr>
          <w:rFonts w:ascii="標楷體" w:eastAsia="標楷體" w:hAnsi="標楷體"/>
          <w:sz w:val="24"/>
          <w:szCs w:val="24"/>
        </w:rPr>
        <w:t>：台灣的芭樂種植季節和美國的水果生產有一定的反季節性，這可以彌補美國本土水果的供應空缺，有利於全年穩定供應。</w:t>
      </w:r>
    </w:p>
    <w:p w14:paraId="29203A91" w14:textId="0F91E4E7" w:rsidR="00D67283" w:rsidRPr="00D67283" w:rsidRDefault="00D67283" w:rsidP="00D67283">
      <w:pPr>
        <w:pStyle w:val="ae"/>
        <w:numPr>
          <w:ilvl w:val="0"/>
          <w:numId w:val="8"/>
        </w:numPr>
        <w:spacing w:after="0"/>
        <w:rPr>
          <w:rFonts w:ascii="標楷體" w:eastAsia="標楷體" w:hAnsi="標楷體"/>
          <w:sz w:val="24"/>
          <w:szCs w:val="24"/>
        </w:rPr>
      </w:pPr>
      <w:r w:rsidRPr="00D67283">
        <w:rPr>
          <w:rFonts w:ascii="標楷體" w:eastAsia="標楷體" w:hAnsi="標楷體"/>
          <w:b/>
          <w:bCs/>
          <w:sz w:val="24"/>
          <w:szCs w:val="24"/>
        </w:rPr>
        <w:t>完善的生產和品管技術</w:t>
      </w:r>
      <w:r w:rsidRPr="00D67283">
        <w:rPr>
          <w:rFonts w:ascii="標楷體" w:eastAsia="標楷體" w:hAnsi="標楷體"/>
          <w:sz w:val="24"/>
          <w:szCs w:val="24"/>
        </w:rPr>
        <w:t>：台灣的農業技術和品管系統成熟，確保芭樂的品質穩定並符合美國的進口標準，這樣也增加了美國市場的接受度。</w:t>
      </w:r>
    </w:p>
    <w:p w14:paraId="25D6AE97" w14:textId="48D17D00" w:rsidR="00A338F3" w:rsidRDefault="003D6058" w:rsidP="003D6058">
      <w:pPr>
        <w:pStyle w:val="ae"/>
        <w:numPr>
          <w:ilvl w:val="0"/>
          <w:numId w:val="7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 w:rsidRPr="003D6058">
        <w:rPr>
          <w:rFonts w:ascii="標楷體" w:eastAsia="標楷體" w:hAnsi="標楷體" w:hint="eastAsia"/>
          <w:sz w:val="24"/>
          <w:szCs w:val="24"/>
        </w:rPr>
        <w:t>台灣出口芭樂至美國的利基</w:t>
      </w:r>
    </w:p>
    <w:p w14:paraId="2C455835" w14:textId="14F97D9E" w:rsidR="000A572A" w:rsidRPr="000A572A" w:rsidRDefault="000A572A" w:rsidP="008E7F6A">
      <w:pPr>
        <w:pStyle w:val="ae"/>
        <w:numPr>
          <w:ilvl w:val="0"/>
          <w:numId w:val="9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 w:rsidRPr="000A572A">
        <w:rPr>
          <w:rFonts w:ascii="標楷體" w:eastAsia="標楷體" w:hAnsi="標楷體" w:hint="eastAsia"/>
          <w:b/>
          <w:bCs/>
          <w:sz w:val="24"/>
          <w:szCs w:val="24"/>
        </w:rPr>
        <w:t>高品質的農產品</w:t>
      </w:r>
      <w:r w:rsidRPr="000A572A">
        <w:rPr>
          <w:rFonts w:ascii="標楷體" w:eastAsia="標楷體" w:hAnsi="標楷體" w:hint="eastAsia"/>
          <w:sz w:val="24"/>
          <w:szCs w:val="24"/>
        </w:rPr>
        <w:t>：台灣以高品質的農產品而聞名，特別是珍珠芭樂等品種，口感鮮甜、脆嫩，這些特質使台灣芭樂在國際市場上具有競爭力。</w:t>
      </w:r>
    </w:p>
    <w:p w14:paraId="7B55A3EB" w14:textId="77777777" w:rsidR="000A572A" w:rsidRPr="000A572A" w:rsidRDefault="000A572A" w:rsidP="000A572A">
      <w:pPr>
        <w:pStyle w:val="ae"/>
        <w:numPr>
          <w:ilvl w:val="0"/>
          <w:numId w:val="9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 w:rsidRPr="000A572A">
        <w:rPr>
          <w:rFonts w:ascii="標楷體" w:eastAsia="標楷體" w:hAnsi="標楷體" w:hint="eastAsia"/>
          <w:b/>
          <w:bCs/>
          <w:sz w:val="24"/>
          <w:szCs w:val="24"/>
        </w:rPr>
        <w:t>符合美國進口標準的生產流程</w:t>
      </w:r>
      <w:r w:rsidRPr="000A572A">
        <w:rPr>
          <w:rFonts w:ascii="標楷體" w:eastAsia="標楷體" w:hAnsi="標楷體" w:hint="eastAsia"/>
          <w:sz w:val="24"/>
          <w:szCs w:val="24"/>
        </w:rPr>
        <w:t>：台灣的芭樂生產技術成熟，並且符合美國的檢疫要求（例如冷處理、農藥殘留標準等），降低了出口過程中的障礙。</w:t>
      </w:r>
      <w:proofErr w:type="gramStart"/>
      <w:r w:rsidRPr="000A572A">
        <w:rPr>
          <w:rFonts w:ascii="標楷體" w:eastAsia="標楷體" w:hAnsi="標楷體" w:hint="eastAsia"/>
          <w:sz w:val="24"/>
          <w:szCs w:val="24"/>
        </w:rPr>
        <w:t>此外，</w:t>
      </w:r>
      <w:proofErr w:type="gramEnd"/>
      <w:r w:rsidRPr="000A572A">
        <w:rPr>
          <w:rFonts w:ascii="標楷體" w:eastAsia="標楷體" w:hAnsi="標楷體" w:hint="eastAsia"/>
          <w:sz w:val="24"/>
          <w:szCs w:val="24"/>
        </w:rPr>
        <w:t>台灣在芭樂的包裝、</w:t>
      </w:r>
      <w:proofErr w:type="gramStart"/>
      <w:r w:rsidRPr="000A572A">
        <w:rPr>
          <w:rFonts w:ascii="標楷體" w:eastAsia="標楷體" w:hAnsi="標楷體" w:hint="eastAsia"/>
          <w:sz w:val="24"/>
          <w:szCs w:val="24"/>
        </w:rPr>
        <w:t>冷鏈運輸</w:t>
      </w:r>
      <w:proofErr w:type="gramEnd"/>
      <w:r w:rsidRPr="000A572A">
        <w:rPr>
          <w:rFonts w:ascii="標楷體" w:eastAsia="標楷體" w:hAnsi="標楷體" w:hint="eastAsia"/>
          <w:sz w:val="24"/>
          <w:szCs w:val="24"/>
        </w:rPr>
        <w:t>等方面具備完整的供應鏈管理，保證了芭樂到達美國後的新鮮度和安全性。</w:t>
      </w:r>
    </w:p>
    <w:p w14:paraId="1F7E7731" w14:textId="1B316C0E" w:rsidR="000A572A" w:rsidRPr="000A572A" w:rsidRDefault="000A572A" w:rsidP="000A572A">
      <w:pPr>
        <w:pStyle w:val="ae"/>
        <w:numPr>
          <w:ilvl w:val="0"/>
          <w:numId w:val="7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>
        <w:rPr>
          <w:rFonts w:ascii="標楷體" w:eastAsia="標楷體" w:hAnsi="標楷體" w:hint="eastAsia"/>
          <w:sz w:val="24"/>
          <w:szCs w:val="24"/>
        </w:rPr>
        <w:t>台灣出口芭樂至美國的困難和挑戰</w:t>
      </w:r>
    </w:p>
    <w:p w14:paraId="0FC90674" w14:textId="7E8C5EC8" w:rsidR="000A572A" w:rsidRPr="000A572A" w:rsidRDefault="000A572A" w:rsidP="00A3611C">
      <w:pPr>
        <w:pStyle w:val="ae"/>
        <w:numPr>
          <w:ilvl w:val="0"/>
          <w:numId w:val="10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 w:rsidRPr="002C2B9F">
        <w:rPr>
          <w:rFonts w:ascii="標楷體" w:eastAsia="標楷體" w:hAnsi="標楷體" w:hint="eastAsia"/>
          <w:b/>
          <w:bCs/>
          <w:sz w:val="24"/>
          <w:szCs w:val="24"/>
        </w:rPr>
        <w:t>檢疫與進口要求：</w:t>
      </w:r>
      <w:r w:rsidRPr="002C2B9F">
        <w:rPr>
          <w:rFonts w:ascii="標楷體" w:eastAsia="標楷體" w:hAnsi="標楷體" w:hint="eastAsia"/>
          <w:sz w:val="24"/>
          <w:szCs w:val="24"/>
        </w:rPr>
        <w:t>美國對農產品的檢疫要求非常</w:t>
      </w:r>
      <w:proofErr w:type="gramStart"/>
      <w:r w:rsidRPr="002C2B9F">
        <w:rPr>
          <w:rFonts w:ascii="標楷體" w:eastAsia="標楷體" w:hAnsi="標楷體" w:hint="eastAsia"/>
          <w:sz w:val="24"/>
          <w:szCs w:val="24"/>
        </w:rPr>
        <w:t>嚴格，</w:t>
      </w:r>
      <w:proofErr w:type="gramEnd"/>
      <w:r w:rsidRPr="002C2B9F">
        <w:rPr>
          <w:rFonts w:ascii="標楷體" w:eastAsia="標楷體" w:hAnsi="標楷體" w:hint="eastAsia"/>
          <w:sz w:val="24"/>
          <w:szCs w:val="24"/>
        </w:rPr>
        <w:t>特別是對熱帶水果。台灣芭樂在進口前必須經過冷處理等防疫措施，以防範蟲害及病菌傳播，這會增加額外的成本和時間。</w:t>
      </w:r>
    </w:p>
    <w:p w14:paraId="635FC4C8" w14:textId="28C9E0D3" w:rsidR="000A572A" w:rsidRPr="002C2B9F" w:rsidRDefault="000A572A" w:rsidP="002C2B9F">
      <w:pPr>
        <w:pStyle w:val="ae"/>
        <w:numPr>
          <w:ilvl w:val="0"/>
          <w:numId w:val="10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 w:rsidRPr="002C2B9F">
        <w:rPr>
          <w:rFonts w:ascii="標楷體" w:eastAsia="標楷體" w:hAnsi="標楷體" w:hint="eastAsia"/>
          <w:b/>
          <w:bCs/>
          <w:sz w:val="24"/>
          <w:szCs w:val="24"/>
        </w:rPr>
        <w:t>運輸與保鮮挑戰</w:t>
      </w:r>
      <w:r w:rsidRPr="000A572A">
        <w:rPr>
          <w:rFonts w:ascii="標楷體" w:eastAsia="標楷體" w:hAnsi="標楷體" w:hint="eastAsia"/>
          <w:sz w:val="24"/>
          <w:szCs w:val="24"/>
        </w:rPr>
        <w:t>：芭樂的儲存期相對較短，容易受損、變質，因此在長途運輸中需保持適當的溫度和濕度，確保水果新鮮度和口感。這需要完善的冷鏈技術。</w:t>
      </w:r>
    </w:p>
    <w:p w14:paraId="4A9109E1" w14:textId="3564A4EF" w:rsidR="000A572A" w:rsidRPr="002C2B9F" w:rsidRDefault="000A572A" w:rsidP="002C2B9F">
      <w:pPr>
        <w:pStyle w:val="ae"/>
        <w:numPr>
          <w:ilvl w:val="0"/>
          <w:numId w:val="10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 w:rsidRPr="002C2B9F">
        <w:rPr>
          <w:rFonts w:ascii="標楷體" w:eastAsia="標楷體" w:hAnsi="標楷體" w:hint="eastAsia"/>
          <w:b/>
          <w:bCs/>
          <w:sz w:val="24"/>
          <w:szCs w:val="24"/>
        </w:rPr>
        <w:t>政策和貿易限制</w:t>
      </w:r>
      <w:r w:rsidRPr="000A572A">
        <w:rPr>
          <w:rFonts w:ascii="標楷體" w:eastAsia="標楷體" w:hAnsi="標楷體" w:hint="eastAsia"/>
          <w:sz w:val="24"/>
          <w:szCs w:val="24"/>
        </w:rPr>
        <w:t>：美國和台灣之間的貿易政策變化也可能影響芭樂出口。進出口稅率或貿易協定的變動，可能導致成本上升或進入市場的難度增加。</w:t>
      </w:r>
    </w:p>
    <w:p w14:paraId="32356A4E" w14:textId="1D871C58" w:rsidR="000A572A" w:rsidRPr="000A572A" w:rsidRDefault="000A572A" w:rsidP="000A572A">
      <w:pPr>
        <w:pStyle w:val="ae"/>
        <w:numPr>
          <w:ilvl w:val="0"/>
          <w:numId w:val="7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 w:rsidRPr="000A572A">
        <w:rPr>
          <w:rFonts w:ascii="標楷體" w:eastAsia="標楷體" w:hAnsi="標楷體" w:hint="eastAsia"/>
          <w:sz w:val="24"/>
          <w:szCs w:val="24"/>
        </w:rPr>
        <w:t>面對困難和挑戰相應之解決方法</w:t>
      </w:r>
    </w:p>
    <w:p w14:paraId="58C05FBE" w14:textId="106131C0" w:rsidR="000A572A" w:rsidRPr="002C2B9F" w:rsidRDefault="000A572A" w:rsidP="002C2B9F">
      <w:pPr>
        <w:pStyle w:val="ae"/>
        <w:numPr>
          <w:ilvl w:val="0"/>
          <w:numId w:val="11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 w:rsidRPr="002C2B9F">
        <w:rPr>
          <w:rFonts w:ascii="標楷體" w:eastAsia="標楷體" w:hAnsi="標楷體" w:hint="eastAsia"/>
          <w:b/>
          <w:bCs/>
          <w:sz w:val="24"/>
          <w:szCs w:val="24"/>
        </w:rPr>
        <w:t>加強</w:t>
      </w:r>
      <w:proofErr w:type="gramStart"/>
      <w:r w:rsidRPr="002C2B9F">
        <w:rPr>
          <w:rFonts w:ascii="標楷體" w:eastAsia="標楷體" w:hAnsi="標楷體" w:hint="eastAsia"/>
          <w:b/>
          <w:bCs/>
          <w:sz w:val="24"/>
          <w:szCs w:val="24"/>
        </w:rPr>
        <w:t>冷鏈物</w:t>
      </w:r>
      <w:proofErr w:type="gramEnd"/>
      <w:r w:rsidRPr="002C2B9F">
        <w:rPr>
          <w:rFonts w:ascii="標楷體" w:eastAsia="標楷體" w:hAnsi="標楷體" w:hint="eastAsia"/>
          <w:b/>
          <w:bCs/>
          <w:sz w:val="24"/>
          <w:szCs w:val="24"/>
        </w:rPr>
        <w:t>流</w:t>
      </w:r>
      <w:r w:rsidR="002C2B9F">
        <w:rPr>
          <w:rFonts w:ascii="標楷體" w:eastAsia="標楷體" w:hAnsi="標楷體" w:hint="eastAsia"/>
          <w:sz w:val="24"/>
          <w:szCs w:val="24"/>
        </w:rPr>
        <w:t>:</w:t>
      </w:r>
      <w:r w:rsidRPr="002C2B9F">
        <w:rPr>
          <w:rFonts w:ascii="標楷體" w:eastAsia="標楷體" w:hAnsi="標楷體" w:hint="eastAsia"/>
          <w:sz w:val="24"/>
          <w:szCs w:val="24"/>
        </w:rPr>
        <w:t>芭樂容易在運輸</w:t>
      </w:r>
      <w:proofErr w:type="gramStart"/>
      <w:r w:rsidRPr="002C2B9F">
        <w:rPr>
          <w:rFonts w:ascii="標楷體" w:eastAsia="標楷體" w:hAnsi="標楷體" w:hint="eastAsia"/>
          <w:sz w:val="24"/>
          <w:szCs w:val="24"/>
        </w:rPr>
        <w:t>過程中腐壞</w:t>
      </w:r>
      <w:proofErr w:type="gramEnd"/>
      <w:r w:rsidRPr="002C2B9F">
        <w:rPr>
          <w:rFonts w:ascii="標楷體" w:eastAsia="標楷體" w:hAnsi="標楷體" w:hint="eastAsia"/>
          <w:sz w:val="24"/>
          <w:szCs w:val="24"/>
        </w:rPr>
        <w:t>，特別是在長距離出口時。因此，建立和完善冷鏈物流系統非常重要。採用冷藏和快速運輸技術，確保芭樂在運輸過程中的新鮮度和品質。</w:t>
      </w:r>
    </w:p>
    <w:p w14:paraId="11B1F50D" w14:textId="5A019584" w:rsidR="000A572A" w:rsidRPr="002C2B9F" w:rsidRDefault="000A572A" w:rsidP="000A572A">
      <w:pPr>
        <w:pStyle w:val="ae"/>
        <w:numPr>
          <w:ilvl w:val="0"/>
          <w:numId w:val="11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 w:rsidRPr="002C2B9F">
        <w:rPr>
          <w:rFonts w:ascii="標楷體" w:eastAsia="標楷體" w:hAnsi="標楷體" w:hint="eastAsia"/>
          <w:b/>
          <w:bCs/>
          <w:sz w:val="24"/>
          <w:szCs w:val="24"/>
        </w:rPr>
        <w:t>改進檢疫處理技術</w:t>
      </w:r>
      <w:r w:rsidR="002C2B9F" w:rsidRPr="002C2B9F">
        <w:rPr>
          <w:rFonts w:ascii="標楷體" w:eastAsia="標楷體" w:hAnsi="標楷體" w:hint="eastAsia"/>
          <w:b/>
          <w:bCs/>
          <w:sz w:val="24"/>
          <w:szCs w:val="24"/>
        </w:rPr>
        <w:t>:</w:t>
      </w:r>
      <w:r w:rsidRPr="002C2B9F">
        <w:rPr>
          <w:rFonts w:ascii="標楷體" w:eastAsia="標楷體" w:hAnsi="標楷體" w:hint="eastAsia"/>
          <w:sz w:val="24"/>
          <w:szCs w:val="24"/>
        </w:rPr>
        <w:t>台灣可考慮與美國相關部門協商，採用較為先進的檢疫處理技術，以減少化學處理需求並降低芭樂被拒收的可能性。</w:t>
      </w:r>
    </w:p>
    <w:p w14:paraId="53B6E30A" w14:textId="00932FA3" w:rsidR="00F2446E" w:rsidRPr="001B4860" w:rsidRDefault="00F2446E" w:rsidP="001B4860">
      <w:pPr>
        <w:pStyle w:val="ae"/>
        <w:numPr>
          <w:ilvl w:val="0"/>
          <w:numId w:val="11"/>
        </w:numPr>
        <w:spacing w:after="0" w:line="240" w:lineRule="auto"/>
        <w:rPr>
          <w:rFonts w:ascii="標楷體" w:eastAsia="標楷體" w:hAnsi="標楷體"/>
          <w:sz w:val="24"/>
          <w:szCs w:val="24"/>
        </w:rPr>
      </w:pPr>
      <w:r>
        <w:rPr>
          <w:rFonts w:ascii="標楷體" w:eastAsia="標楷體" w:hAnsi="標楷體" w:hint="eastAsi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43E5540" wp14:editId="78B355AE">
            <wp:simplePos x="0" y="0"/>
            <wp:positionH relativeFrom="margin">
              <wp:align>center</wp:align>
            </wp:positionH>
            <wp:positionV relativeFrom="paragraph">
              <wp:posOffset>663575</wp:posOffset>
            </wp:positionV>
            <wp:extent cx="2613025" cy="1372235"/>
            <wp:effectExtent l="0" t="0" r="0" b="0"/>
            <wp:wrapTopAndBottom/>
            <wp:docPr id="92996926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969265" name="圖片 92996926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025" cy="1372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572A" w:rsidRPr="002C2B9F">
        <w:rPr>
          <w:rFonts w:ascii="標楷體" w:eastAsia="標楷體" w:hAnsi="標楷體" w:hint="eastAsia"/>
          <w:b/>
          <w:bCs/>
          <w:sz w:val="24"/>
          <w:szCs w:val="24"/>
        </w:rPr>
        <w:t>加強雙邊合作，簡化檢疫程序</w:t>
      </w:r>
      <w:r w:rsidR="002C2B9F">
        <w:rPr>
          <w:rFonts w:ascii="標楷體" w:eastAsia="標楷體" w:hAnsi="標楷體" w:hint="eastAsia"/>
          <w:sz w:val="24"/>
          <w:szCs w:val="24"/>
        </w:rPr>
        <w:t>:</w:t>
      </w:r>
      <w:r w:rsidR="000A572A" w:rsidRPr="002C2B9F">
        <w:rPr>
          <w:rFonts w:ascii="標楷體" w:eastAsia="標楷體" w:hAnsi="標楷體" w:hint="eastAsia"/>
          <w:sz w:val="24"/>
          <w:szCs w:val="24"/>
        </w:rPr>
        <w:t>台灣和美國可以進一步合作，試圖達成更簡化的檢疫程序。透過雙邊協商來減少繁瑣的檢疫流程，使芭樂能夠更快速地進入市場，減少損耗和成本。</w:t>
      </w:r>
    </w:p>
    <w:sectPr w:rsidR="00F2446E" w:rsidRPr="001B4860" w:rsidSect="002C2B9F">
      <w:headerReference w:type="default" r:id="rId9"/>
      <w:pgSz w:w="11906" w:h="16838"/>
      <w:pgMar w:top="1440" w:right="1800" w:bottom="1440" w:left="1800" w:header="851" w:footer="37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D3CDE4" w14:textId="77777777" w:rsidR="00045C8D" w:rsidRDefault="00045C8D" w:rsidP="00B84EEF">
      <w:pPr>
        <w:spacing w:after="0" w:line="240" w:lineRule="auto"/>
      </w:pPr>
      <w:r>
        <w:separator/>
      </w:r>
    </w:p>
  </w:endnote>
  <w:endnote w:type="continuationSeparator" w:id="0">
    <w:p w14:paraId="2C4168C3" w14:textId="77777777" w:rsidR="00045C8D" w:rsidRDefault="00045C8D" w:rsidP="00B84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58069532"/>
      <w:docPartObj>
        <w:docPartGallery w:val="Page Numbers (Bottom of Page)"/>
        <w:docPartUnique/>
      </w:docPartObj>
    </w:sdtPr>
    <w:sdtContent>
      <w:p w14:paraId="591DD22A" w14:textId="3F01C305" w:rsidR="00B84EEF" w:rsidRDefault="00F25AFF" w:rsidP="00F25AFF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FD916" w14:textId="77777777" w:rsidR="00045C8D" w:rsidRDefault="00045C8D" w:rsidP="00B84EEF">
      <w:pPr>
        <w:spacing w:after="0" w:line="240" w:lineRule="auto"/>
      </w:pPr>
      <w:r>
        <w:separator/>
      </w:r>
    </w:p>
  </w:footnote>
  <w:footnote w:type="continuationSeparator" w:id="0">
    <w:p w14:paraId="1344639A" w14:textId="77777777" w:rsidR="00045C8D" w:rsidRDefault="00045C8D" w:rsidP="00B84E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37A0E1" w14:textId="77777777" w:rsidR="008B463A" w:rsidRPr="002402DF" w:rsidRDefault="008B463A" w:rsidP="002402DF">
    <w:pPr>
      <w:pStyle w:val="ae"/>
    </w:pPr>
    <w:r>
      <w:rPr>
        <w:rFonts w:hint="eastAsia"/>
      </w:rPr>
      <w:t>(</w:t>
    </w:r>
    <w:r>
      <w:rPr>
        <w:rFonts w:hint="eastAsia"/>
      </w:rPr>
      <w:t>請於此頁編輯市場調查內容</w:t>
    </w:r>
    <w:r>
      <w:rPr>
        <w:rFonts w:hint="eastAsia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E81757"/>
    <w:multiLevelType w:val="hybridMultilevel"/>
    <w:tmpl w:val="64FCAB12"/>
    <w:lvl w:ilvl="0" w:tplc="E5C664C6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FC826BE"/>
    <w:multiLevelType w:val="hybridMultilevel"/>
    <w:tmpl w:val="E81ADC5E"/>
    <w:lvl w:ilvl="0" w:tplc="F69EBB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8615BA2"/>
    <w:multiLevelType w:val="hybridMultilevel"/>
    <w:tmpl w:val="C25E29D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43DF0EEF"/>
    <w:multiLevelType w:val="hybridMultilevel"/>
    <w:tmpl w:val="1A28E60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C186CBF"/>
    <w:multiLevelType w:val="hybridMultilevel"/>
    <w:tmpl w:val="4A807296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CBD37F0"/>
    <w:multiLevelType w:val="hybridMultilevel"/>
    <w:tmpl w:val="D87A687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5DBC448C"/>
    <w:multiLevelType w:val="hybridMultilevel"/>
    <w:tmpl w:val="ACE0C1EE"/>
    <w:lvl w:ilvl="0" w:tplc="CB2617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DF00684"/>
    <w:multiLevelType w:val="hybridMultilevel"/>
    <w:tmpl w:val="28BAD044"/>
    <w:lvl w:ilvl="0" w:tplc="0409000D">
      <w:start w:val="1"/>
      <w:numFmt w:val="bullet"/>
      <w:lvlText w:val=""/>
      <w:lvlJc w:val="left"/>
      <w:pPr>
        <w:ind w:left="13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8" w15:restartNumberingAfterBreak="0">
    <w:nsid w:val="65D440ED"/>
    <w:multiLevelType w:val="hybridMultilevel"/>
    <w:tmpl w:val="CE088E3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6032021"/>
    <w:multiLevelType w:val="hybridMultilevel"/>
    <w:tmpl w:val="41721FF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7B385461"/>
    <w:multiLevelType w:val="hybridMultilevel"/>
    <w:tmpl w:val="A9941F8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 w16cid:durableId="1457487259">
    <w:abstractNumId w:val="6"/>
  </w:num>
  <w:num w:numId="2" w16cid:durableId="61298034">
    <w:abstractNumId w:val="4"/>
  </w:num>
  <w:num w:numId="3" w16cid:durableId="2082947419">
    <w:abstractNumId w:val="1"/>
  </w:num>
  <w:num w:numId="4" w16cid:durableId="755520163">
    <w:abstractNumId w:val="0"/>
  </w:num>
  <w:num w:numId="5" w16cid:durableId="707490478">
    <w:abstractNumId w:val="7"/>
  </w:num>
  <w:num w:numId="6" w16cid:durableId="161092590">
    <w:abstractNumId w:val="3"/>
  </w:num>
  <w:num w:numId="7" w16cid:durableId="995569839">
    <w:abstractNumId w:val="8"/>
  </w:num>
  <w:num w:numId="8" w16cid:durableId="1406493568">
    <w:abstractNumId w:val="9"/>
  </w:num>
  <w:num w:numId="9" w16cid:durableId="1366904449">
    <w:abstractNumId w:val="10"/>
  </w:num>
  <w:num w:numId="10" w16cid:durableId="960958953">
    <w:abstractNumId w:val="5"/>
  </w:num>
  <w:num w:numId="11" w16cid:durableId="14940279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19D"/>
    <w:rsid w:val="00045C8D"/>
    <w:rsid w:val="000847C2"/>
    <w:rsid w:val="000A572A"/>
    <w:rsid w:val="000E45B0"/>
    <w:rsid w:val="000E562C"/>
    <w:rsid w:val="001078C6"/>
    <w:rsid w:val="0011294E"/>
    <w:rsid w:val="00122F1A"/>
    <w:rsid w:val="00140A9B"/>
    <w:rsid w:val="00145EF9"/>
    <w:rsid w:val="00155EA2"/>
    <w:rsid w:val="00194F0B"/>
    <w:rsid w:val="001978F3"/>
    <w:rsid w:val="001B4860"/>
    <w:rsid w:val="001E4D7F"/>
    <w:rsid w:val="00204046"/>
    <w:rsid w:val="002402DF"/>
    <w:rsid w:val="00261E41"/>
    <w:rsid w:val="0027241D"/>
    <w:rsid w:val="002A6AF4"/>
    <w:rsid w:val="002C2B9F"/>
    <w:rsid w:val="003550D1"/>
    <w:rsid w:val="00356A12"/>
    <w:rsid w:val="0036319D"/>
    <w:rsid w:val="003D6058"/>
    <w:rsid w:val="00496B21"/>
    <w:rsid w:val="004E3FC5"/>
    <w:rsid w:val="00505540"/>
    <w:rsid w:val="00530AFE"/>
    <w:rsid w:val="00555DFE"/>
    <w:rsid w:val="005616D2"/>
    <w:rsid w:val="00563DB5"/>
    <w:rsid w:val="005C3B70"/>
    <w:rsid w:val="00625F5F"/>
    <w:rsid w:val="0065746A"/>
    <w:rsid w:val="00745031"/>
    <w:rsid w:val="007C732A"/>
    <w:rsid w:val="0081059D"/>
    <w:rsid w:val="00822D51"/>
    <w:rsid w:val="008239A8"/>
    <w:rsid w:val="008767EA"/>
    <w:rsid w:val="008A5EEA"/>
    <w:rsid w:val="008B463A"/>
    <w:rsid w:val="00945635"/>
    <w:rsid w:val="009917D8"/>
    <w:rsid w:val="00A338F3"/>
    <w:rsid w:val="00A77AD2"/>
    <w:rsid w:val="00A84F45"/>
    <w:rsid w:val="00A97185"/>
    <w:rsid w:val="00AF6398"/>
    <w:rsid w:val="00B04D60"/>
    <w:rsid w:val="00B60F01"/>
    <w:rsid w:val="00B84EEF"/>
    <w:rsid w:val="00BE6FC7"/>
    <w:rsid w:val="00D67283"/>
    <w:rsid w:val="00E03540"/>
    <w:rsid w:val="00EC3888"/>
    <w:rsid w:val="00F20902"/>
    <w:rsid w:val="00F2446E"/>
    <w:rsid w:val="00F25AFF"/>
    <w:rsid w:val="00F8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5AB473"/>
  <w15:chartTrackingRefBased/>
  <w15:docId w15:val="{A4DE308A-725D-410F-A24C-D4889A45C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6319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3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319D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319D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31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319D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319D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319D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319D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6319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631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6319D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631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6319D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6319D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6319D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6319D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6319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6319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63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319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6319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631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6319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6319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6319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631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6319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6319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84E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B84EEF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B84E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B84EEF"/>
    <w:rPr>
      <w:sz w:val="20"/>
      <w:szCs w:val="20"/>
    </w:rPr>
  </w:style>
  <w:style w:type="table" w:styleId="af2">
    <w:name w:val="Table Grid"/>
    <w:basedOn w:val="a1"/>
    <w:uiPriority w:val="39"/>
    <w:rsid w:val="00657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52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Ruby Wang</dc:creator>
  <cp:keywords/>
  <dc:description/>
  <cp:lastModifiedBy>永錡 黃</cp:lastModifiedBy>
  <cp:revision>2</cp:revision>
  <dcterms:created xsi:type="dcterms:W3CDTF">2024-11-06T02:11:00Z</dcterms:created>
  <dcterms:modified xsi:type="dcterms:W3CDTF">2024-11-06T02:11:00Z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108397cb8f811bd3c1b66f654a4e4e35d46ed9d9feee3058e65a546e26ef7de2</vt:lpwstr>
  </property>
</Properties>
</file>